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063A" w14:textId="076E1F18" w:rsidR="00FD2B19" w:rsidRPr="00F922EA" w:rsidRDefault="00FD2B19" w:rsidP="00F922EA">
      <w:pPr>
        <w:pStyle w:val="BodyText3"/>
        <w:rPr>
          <w:rFonts w:ascii="Myriad Pro" w:hAnsi="Myriad Pro" w:cs="Tahoma"/>
          <w:color w:val="auto"/>
          <w:sz w:val="22"/>
          <w:lang w:val="en-GB"/>
        </w:rPr>
      </w:pPr>
    </w:p>
    <w:p w14:paraId="651EB576" w14:textId="77777777" w:rsidR="00C0266E" w:rsidRPr="00F922EA" w:rsidRDefault="00C0266E" w:rsidP="00F922EA">
      <w:pPr>
        <w:spacing w:after="240"/>
        <w:jc w:val="center"/>
        <w:rPr>
          <w:rFonts w:ascii="Myriad Pro" w:hAnsi="Myriad Pro"/>
          <w:b/>
          <w:sz w:val="30"/>
          <w:szCs w:val="32"/>
          <w:lang w:val="en-GB"/>
        </w:rPr>
      </w:pPr>
      <w:r w:rsidRPr="00F922EA">
        <w:rPr>
          <w:rFonts w:ascii="Myriad Pro" w:hAnsi="Myriad Pro"/>
          <w:b/>
          <w:sz w:val="30"/>
          <w:szCs w:val="32"/>
          <w:lang w:val="en-GB"/>
        </w:rPr>
        <w:t xml:space="preserve">PREFACE </w:t>
      </w:r>
    </w:p>
    <w:p w14:paraId="66245A43" w14:textId="77777777" w:rsidR="00C0266E" w:rsidRPr="00F922EA" w:rsidRDefault="00C0266E" w:rsidP="00ED1BF1">
      <w:pPr>
        <w:jc w:val="center"/>
        <w:rPr>
          <w:rFonts w:ascii="Myriad Pro" w:hAnsi="Myriad Pro"/>
          <w:b/>
          <w:lang w:val="en-GB"/>
        </w:rPr>
      </w:pPr>
      <w:r w:rsidRPr="00F922EA">
        <w:rPr>
          <w:rFonts w:ascii="Myriad Pro" w:hAnsi="Myriad Pro"/>
          <w:b/>
          <w:lang w:val="en-GB"/>
        </w:rPr>
        <w:t>VBRN Procedures and Technical Guidelines</w:t>
      </w:r>
      <w:r w:rsidRPr="00F922EA">
        <w:rPr>
          <w:rFonts w:ascii="Myriad Pro" w:hAnsi="Myriad Pro"/>
          <w:lang w:val="en-GB"/>
        </w:rPr>
        <w:t>.</w:t>
      </w:r>
    </w:p>
    <w:p w14:paraId="1BA7B9D9" w14:textId="77777777" w:rsidR="00301677" w:rsidRPr="00F922EA" w:rsidRDefault="00301677" w:rsidP="00C0266E">
      <w:pPr>
        <w:spacing w:before="120"/>
        <w:jc w:val="both"/>
        <w:rPr>
          <w:rFonts w:ascii="Myriad Pro" w:hAnsi="Myriad Pro"/>
          <w:b/>
          <w:lang w:val="en-GB"/>
        </w:rPr>
      </w:pPr>
      <w:r w:rsidRPr="00F922EA">
        <w:rPr>
          <w:rFonts w:ascii="Myriad Pro" w:hAnsi="Myriad Pro"/>
          <w:b/>
          <w:lang w:val="en-GB"/>
        </w:rPr>
        <w:t>History</w:t>
      </w:r>
    </w:p>
    <w:p w14:paraId="0C9176D4" w14:textId="77777777" w:rsidR="00301677" w:rsidRPr="00F922EA" w:rsidRDefault="0094300A" w:rsidP="00C0266E">
      <w:pPr>
        <w:spacing w:before="120"/>
        <w:jc w:val="both"/>
        <w:rPr>
          <w:rFonts w:ascii="Myriad Pro" w:hAnsi="Myriad Pro"/>
          <w:lang w:val="en-GB"/>
        </w:rPr>
      </w:pPr>
      <w:r w:rsidRPr="00F922EA">
        <w:rPr>
          <w:rFonts w:ascii="Myriad Pro" w:hAnsi="Myriad Pro"/>
          <w:lang w:val="en-GB"/>
        </w:rPr>
        <w:t xml:space="preserve">The amendments </w:t>
      </w:r>
      <w:r w:rsidR="00F7699F" w:rsidRPr="00F922EA">
        <w:rPr>
          <w:rFonts w:ascii="Myriad Pro" w:hAnsi="Myriad Pro"/>
          <w:lang w:val="en-GB"/>
        </w:rPr>
        <w:t>to</w:t>
      </w:r>
      <w:r w:rsidRPr="00F922EA">
        <w:rPr>
          <w:rFonts w:ascii="Myriad Pro" w:hAnsi="Myriad Pro"/>
          <w:lang w:val="en-GB"/>
        </w:rPr>
        <w:t xml:space="preserve"> </w:t>
      </w:r>
      <w:r w:rsidR="00301677" w:rsidRPr="00F922EA">
        <w:rPr>
          <w:rFonts w:ascii="Myriad Pro" w:hAnsi="Myriad Pro"/>
          <w:lang w:val="en-GB"/>
        </w:rPr>
        <w:t xml:space="preserve">Directive 2001/82/EC as described in Directive 2004/28/EC came </w:t>
      </w:r>
      <w:r w:rsidR="000C6455" w:rsidRPr="00F922EA">
        <w:rPr>
          <w:rFonts w:ascii="Myriad Pro" w:hAnsi="Myriad Pro"/>
          <w:lang w:val="en-GB"/>
        </w:rPr>
        <w:t>into</w:t>
      </w:r>
      <w:r w:rsidR="00301677" w:rsidRPr="00F922EA">
        <w:rPr>
          <w:rFonts w:ascii="Myriad Pro" w:hAnsi="Myriad Pro"/>
          <w:lang w:val="en-GB"/>
        </w:rPr>
        <w:t xml:space="preserve"> force on 31 October 2005. </w:t>
      </w:r>
      <w:proofErr w:type="gramStart"/>
      <w:r w:rsidR="00301677" w:rsidRPr="00F922EA">
        <w:rPr>
          <w:rFonts w:ascii="Myriad Pro" w:hAnsi="Myriad Pro"/>
          <w:lang w:val="en-GB"/>
        </w:rPr>
        <w:t>In order to</w:t>
      </w:r>
      <w:proofErr w:type="gramEnd"/>
      <w:r w:rsidR="00301677" w:rsidRPr="00F922EA">
        <w:rPr>
          <w:rFonts w:ascii="Myriad Pro" w:hAnsi="Myriad Pro"/>
          <w:lang w:val="en-GB"/>
        </w:rPr>
        <w:t xml:space="preserve"> effectively implement the requirements of Article 81 (OBPR) and Article 82 (OCABR) in a harmoni</w:t>
      </w:r>
      <w:r w:rsidR="008E72BA" w:rsidRPr="00F922EA">
        <w:rPr>
          <w:rFonts w:ascii="Myriad Pro" w:hAnsi="Myriad Pro"/>
          <w:lang w:val="en-GB"/>
        </w:rPr>
        <w:t>s</w:t>
      </w:r>
      <w:r w:rsidR="00301677" w:rsidRPr="00F922EA">
        <w:rPr>
          <w:rFonts w:ascii="Myriad Pro" w:hAnsi="Myriad Pro"/>
          <w:lang w:val="en-GB"/>
        </w:rPr>
        <w:t>ed and codified manner</w:t>
      </w:r>
      <w:r w:rsidR="00F7699F" w:rsidRPr="00F922EA">
        <w:rPr>
          <w:rFonts w:ascii="Myriad Pro" w:hAnsi="Myriad Pro"/>
          <w:lang w:val="en-GB"/>
        </w:rPr>
        <w:t>,</w:t>
      </w:r>
      <w:r w:rsidR="00301677" w:rsidRPr="00F922EA">
        <w:rPr>
          <w:rFonts w:ascii="Myriad Pro" w:hAnsi="Myriad Pro"/>
          <w:lang w:val="en-GB"/>
        </w:rPr>
        <w:t xml:space="preserve"> </w:t>
      </w:r>
      <w:proofErr w:type="gramStart"/>
      <w:r w:rsidR="00301677" w:rsidRPr="00F922EA">
        <w:rPr>
          <w:rFonts w:ascii="Myriad Pro" w:hAnsi="Myriad Pro"/>
          <w:lang w:val="en-GB"/>
        </w:rPr>
        <w:t xml:space="preserve">a </w:t>
      </w:r>
      <w:r w:rsidR="0057674C" w:rsidRPr="00F922EA">
        <w:rPr>
          <w:rFonts w:ascii="Myriad Pro" w:hAnsi="Myriad Pro"/>
          <w:lang w:val="en-GB"/>
        </w:rPr>
        <w:t xml:space="preserve">number </w:t>
      </w:r>
      <w:r w:rsidR="00301677" w:rsidRPr="00F922EA">
        <w:rPr>
          <w:rFonts w:ascii="Myriad Pro" w:hAnsi="Myriad Pro"/>
          <w:lang w:val="en-GB"/>
        </w:rPr>
        <w:t>of</w:t>
      </w:r>
      <w:proofErr w:type="gramEnd"/>
      <w:r w:rsidR="00301677" w:rsidRPr="00F922EA">
        <w:rPr>
          <w:rFonts w:ascii="Myriad Pro" w:hAnsi="Myriad Pro"/>
          <w:lang w:val="en-GB"/>
        </w:rPr>
        <w:t xml:space="preserve"> documents were elaborated in close collaboration with the E</w:t>
      </w:r>
      <w:r w:rsidR="008E72BA" w:rsidRPr="00F922EA">
        <w:rPr>
          <w:rFonts w:ascii="Myriad Pro" w:hAnsi="Myriad Pro"/>
          <w:lang w:val="en-GB"/>
        </w:rPr>
        <w:t>uropean</w:t>
      </w:r>
      <w:r w:rsidR="00301677" w:rsidRPr="00F922EA">
        <w:rPr>
          <w:rFonts w:ascii="Myriad Pro" w:hAnsi="Myriad Pro"/>
          <w:lang w:val="en-GB"/>
        </w:rPr>
        <w:t xml:space="preserve"> Commission and the Veterinary Pharmaceutical Committee (VPC) and, following a pilot phase, were adopted at the 18</w:t>
      </w:r>
      <w:r w:rsidR="00301677" w:rsidRPr="00F922EA">
        <w:rPr>
          <w:rFonts w:ascii="Myriad Pro" w:hAnsi="Myriad Pro"/>
          <w:vertAlign w:val="superscript"/>
          <w:lang w:val="en-GB"/>
        </w:rPr>
        <w:t>th</w:t>
      </w:r>
      <w:r w:rsidR="00301677" w:rsidRPr="00F922EA">
        <w:rPr>
          <w:rFonts w:ascii="Myriad Pro" w:hAnsi="Myriad Pro"/>
          <w:lang w:val="en-GB"/>
        </w:rPr>
        <w:t xml:space="preserve"> meeting of the VPC (20 March 2007). The VPC mandated the EDQM and the CA/OMCL network for IVMPs (VBRN, for Veterinary Batch Release Network) to continue to develop specific procedures and guidelines that would facilitate the implementation of the relevant articles of the Directive and specifically to promote the mutual recognition required </w:t>
      </w:r>
      <w:r w:rsidR="0057674C" w:rsidRPr="00F922EA">
        <w:rPr>
          <w:rFonts w:ascii="Myriad Pro" w:hAnsi="Myriad Pro"/>
          <w:lang w:val="en-GB"/>
        </w:rPr>
        <w:t xml:space="preserve">under </w:t>
      </w:r>
      <w:r w:rsidR="00301677" w:rsidRPr="00F922EA">
        <w:rPr>
          <w:rFonts w:ascii="Myriad Pro" w:hAnsi="Myriad Pro"/>
          <w:lang w:val="en-GB"/>
        </w:rPr>
        <w:t>Article 82 by enhancing transparency and mutual confidence.</w:t>
      </w:r>
    </w:p>
    <w:p w14:paraId="438850F2" w14:textId="77777777" w:rsidR="00ED1BF1" w:rsidRPr="00F922EA" w:rsidRDefault="00ED1BF1" w:rsidP="00C0266E">
      <w:pPr>
        <w:spacing w:before="120"/>
        <w:jc w:val="both"/>
        <w:rPr>
          <w:rFonts w:ascii="Myriad Pro" w:hAnsi="Myriad Pro"/>
          <w:lang w:val="en-GB"/>
        </w:rPr>
      </w:pPr>
      <w:r w:rsidRPr="00F922EA">
        <w:rPr>
          <w:rFonts w:ascii="Myriad Pro" w:hAnsi="Myriad Pro"/>
          <w:lang w:val="en-GB"/>
        </w:rPr>
        <w:t>In addition</w:t>
      </w:r>
      <w:r w:rsidR="000C6455" w:rsidRPr="00F922EA">
        <w:rPr>
          <w:rFonts w:ascii="Myriad Pro" w:hAnsi="Myriad Pro"/>
          <w:lang w:val="en-GB"/>
        </w:rPr>
        <w:t>,</w:t>
      </w:r>
      <w:r w:rsidRPr="00F922EA">
        <w:rPr>
          <w:rFonts w:ascii="Myriad Pro" w:hAnsi="Myriad Pro"/>
          <w:lang w:val="en-GB"/>
        </w:rPr>
        <w:t xml:space="preserve"> a recommendation document </w:t>
      </w:r>
      <w:r w:rsidRPr="00F922EA">
        <w:rPr>
          <w:rFonts w:ascii="Myriad Pro" w:hAnsi="Myriad Pro"/>
          <w:szCs w:val="24"/>
          <w:lang w:val="en-GB"/>
        </w:rPr>
        <w:t>‘</w:t>
      </w:r>
      <w:r w:rsidRPr="00F922EA">
        <w:rPr>
          <w:rFonts w:ascii="Myriad Pro" w:hAnsi="Myriad Pro"/>
          <w:szCs w:val="24"/>
          <w:lang w:val="en-GB" w:eastAsia="en-GB"/>
        </w:rPr>
        <w:t>Recommendations on the Implementation of Article 82 of Directive 2001/82/EC, as amended by Directive 2004/28/EC for the Official Control Authority Batch Release’</w:t>
      </w:r>
      <w:r w:rsidRPr="00F922EA">
        <w:rPr>
          <w:rFonts w:ascii="Myriad Pro" w:hAnsi="Myriad Pro"/>
          <w:lang w:val="en-GB"/>
        </w:rPr>
        <w:t xml:space="preserve"> was endorsed by the </w:t>
      </w:r>
      <w:r w:rsidR="008E72BA" w:rsidRPr="00F922EA">
        <w:rPr>
          <w:rFonts w:ascii="Myriad Pro" w:hAnsi="Myriad Pro"/>
          <w:lang w:val="en-GB"/>
        </w:rPr>
        <w:t xml:space="preserve">VPC </w:t>
      </w:r>
      <w:r w:rsidRPr="00F922EA">
        <w:rPr>
          <w:rFonts w:ascii="Myriad Pro" w:hAnsi="Myriad Pro"/>
          <w:lang w:val="en-GB"/>
        </w:rPr>
        <w:t xml:space="preserve">on 20 March 2007. It </w:t>
      </w:r>
      <w:r w:rsidR="00201B99" w:rsidRPr="00F922EA">
        <w:rPr>
          <w:rFonts w:ascii="Myriad Pro" w:hAnsi="Myriad Pro"/>
          <w:lang w:val="en-GB"/>
        </w:rPr>
        <w:t xml:space="preserve">provided </w:t>
      </w:r>
      <w:r w:rsidR="0057674C" w:rsidRPr="00F922EA">
        <w:rPr>
          <w:rFonts w:ascii="Myriad Pro" w:hAnsi="Myriad Pro"/>
          <w:lang w:val="en-GB"/>
        </w:rPr>
        <w:t xml:space="preserve">an </w:t>
      </w:r>
      <w:r w:rsidRPr="00F922EA">
        <w:rPr>
          <w:rFonts w:ascii="Myriad Pro" w:hAnsi="Myriad Pro"/>
          <w:lang w:val="en-GB"/>
        </w:rPr>
        <w:t>additional framework for the application and development of the system and in particular</w:t>
      </w:r>
      <w:r w:rsidR="005C69B9" w:rsidRPr="00F922EA">
        <w:rPr>
          <w:rFonts w:ascii="Myriad Pro" w:hAnsi="Myriad Pro"/>
          <w:lang w:val="en-GB"/>
        </w:rPr>
        <w:t>,</w:t>
      </w:r>
      <w:r w:rsidRPr="00F922EA">
        <w:rPr>
          <w:rFonts w:ascii="Myriad Pro" w:hAnsi="Myriad Pro"/>
          <w:lang w:val="en-GB"/>
        </w:rPr>
        <w:t xml:space="preserve"> the evolution of the restricted list of products to be tested based on risk analysis.</w:t>
      </w:r>
    </w:p>
    <w:p w14:paraId="5F963B04" w14:textId="4D0C90FB" w:rsidR="00301677" w:rsidRPr="00F922EA" w:rsidRDefault="00301677" w:rsidP="00C0266E">
      <w:pPr>
        <w:spacing w:before="120"/>
        <w:jc w:val="both"/>
        <w:rPr>
          <w:rFonts w:ascii="Myriad Pro" w:hAnsi="Myriad Pro"/>
          <w:lang w:val="en-GB"/>
        </w:rPr>
      </w:pPr>
      <w:r w:rsidRPr="00F922EA">
        <w:rPr>
          <w:rFonts w:ascii="Myriad Pro" w:hAnsi="Myriad Pro"/>
          <w:lang w:val="en-GB"/>
        </w:rPr>
        <w:t xml:space="preserve">The elements of Article 81 are </w:t>
      </w:r>
      <w:r w:rsidR="008E5CD8" w:rsidRPr="00F922EA">
        <w:rPr>
          <w:rFonts w:ascii="Myriad Pro" w:hAnsi="Myriad Pro"/>
          <w:lang w:val="en-GB"/>
        </w:rPr>
        <w:t>subsumed into</w:t>
      </w:r>
      <w:r w:rsidRPr="00F922EA">
        <w:rPr>
          <w:rFonts w:ascii="Myriad Pro" w:hAnsi="Myriad Pro"/>
          <w:lang w:val="en-GB"/>
        </w:rPr>
        <w:t xml:space="preserve"> Regulation (EU) 2019/6</w:t>
      </w:r>
      <w:r w:rsidR="00ED1BF1" w:rsidRPr="00F922EA">
        <w:rPr>
          <w:rFonts w:ascii="Myriad Pro" w:hAnsi="Myriad Pro"/>
          <w:lang w:val="en-GB"/>
        </w:rPr>
        <w:t>,</w:t>
      </w:r>
      <w:r w:rsidRPr="00F922EA">
        <w:rPr>
          <w:rFonts w:ascii="Myriad Pro" w:hAnsi="Myriad Pro"/>
          <w:lang w:val="en-GB"/>
        </w:rPr>
        <w:t xml:space="preserve"> Article 128 paragraph 1.</w:t>
      </w:r>
      <w:r w:rsidR="00F922EA">
        <w:rPr>
          <w:rFonts w:ascii="Myriad Pro" w:hAnsi="Myriad Pro"/>
          <w:lang w:val="en-GB"/>
        </w:rPr>
        <w:t xml:space="preserve"> </w:t>
      </w:r>
      <w:r w:rsidRPr="00F922EA">
        <w:rPr>
          <w:rFonts w:ascii="Myriad Pro" w:hAnsi="Myriad Pro"/>
          <w:lang w:val="en-GB"/>
        </w:rPr>
        <w:t xml:space="preserve">The elements of Article 82 are </w:t>
      </w:r>
      <w:r w:rsidR="004B50C0" w:rsidRPr="00F922EA">
        <w:rPr>
          <w:rFonts w:ascii="Myriad Pro" w:hAnsi="Myriad Pro"/>
          <w:lang w:val="en-GB"/>
        </w:rPr>
        <w:t>subsumed into</w:t>
      </w:r>
      <w:r w:rsidRPr="00F922EA">
        <w:rPr>
          <w:rFonts w:ascii="Myriad Pro" w:hAnsi="Myriad Pro"/>
          <w:lang w:val="en-GB"/>
        </w:rPr>
        <w:t xml:space="preserve"> Regulation (EU) 2019/6, Article 128, paragraphs 3-9.</w:t>
      </w:r>
    </w:p>
    <w:p w14:paraId="2162DFE6" w14:textId="77777777" w:rsidR="00ED1BF1" w:rsidRPr="00F922EA" w:rsidRDefault="00ED1BF1" w:rsidP="00C0266E">
      <w:pPr>
        <w:spacing w:before="120"/>
        <w:jc w:val="both"/>
        <w:rPr>
          <w:rFonts w:ascii="Myriad Pro" w:hAnsi="Myriad Pro"/>
          <w:lang w:val="en-GB"/>
        </w:rPr>
      </w:pPr>
      <w:r w:rsidRPr="00F922EA">
        <w:rPr>
          <w:rFonts w:ascii="Myriad Pro" w:hAnsi="Myriad Pro"/>
          <w:lang w:val="en-GB"/>
        </w:rPr>
        <w:t>Regulation (EU) 2019/6 repeals Directive 2001/82/EC</w:t>
      </w:r>
      <w:r w:rsidR="00C575F8" w:rsidRPr="00F922EA">
        <w:rPr>
          <w:rFonts w:ascii="Myriad Pro" w:hAnsi="Myriad Pro"/>
          <w:lang w:val="en-GB"/>
        </w:rPr>
        <w:t xml:space="preserve"> as amended </w:t>
      </w:r>
      <w:r w:rsidR="008E5CD8" w:rsidRPr="00F922EA">
        <w:rPr>
          <w:rFonts w:ascii="Myriad Pro" w:hAnsi="Myriad Pro"/>
          <w:lang w:val="en-GB"/>
        </w:rPr>
        <w:t xml:space="preserve">and </w:t>
      </w:r>
      <w:r w:rsidR="00C575F8" w:rsidRPr="00F922EA">
        <w:rPr>
          <w:rFonts w:ascii="Myriad Pro" w:hAnsi="Myriad Pro"/>
          <w:lang w:val="en-GB"/>
        </w:rPr>
        <w:t>is applicable as of 22/01/22.</w:t>
      </w:r>
    </w:p>
    <w:p w14:paraId="69342D0E" w14:textId="77777777" w:rsidR="00ED1BF1" w:rsidRPr="00F922EA" w:rsidRDefault="00ED1BF1" w:rsidP="00C0266E">
      <w:pPr>
        <w:spacing w:before="120"/>
        <w:jc w:val="both"/>
        <w:rPr>
          <w:rFonts w:ascii="Myriad Pro" w:hAnsi="Myriad Pro"/>
          <w:lang w:val="en-GB"/>
        </w:rPr>
      </w:pPr>
      <w:r w:rsidRPr="00F922EA">
        <w:rPr>
          <w:rFonts w:ascii="Myriad Pro" w:hAnsi="Myriad Pro"/>
          <w:lang w:val="en-GB"/>
        </w:rPr>
        <w:t xml:space="preserve">VBRN documents related to OCABR and OBPR should be read </w:t>
      </w:r>
      <w:proofErr w:type="gramStart"/>
      <w:r w:rsidR="0057674C" w:rsidRPr="00F922EA">
        <w:rPr>
          <w:rFonts w:ascii="Myriad Pro" w:hAnsi="Myriad Pro"/>
          <w:lang w:val="en-GB"/>
        </w:rPr>
        <w:t>in light of</w:t>
      </w:r>
      <w:proofErr w:type="gramEnd"/>
      <w:r w:rsidR="0057674C" w:rsidRPr="00F922EA">
        <w:rPr>
          <w:rFonts w:ascii="Myriad Pro" w:hAnsi="Myriad Pro"/>
          <w:lang w:val="en-GB"/>
        </w:rPr>
        <w:t xml:space="preserve"> the above</w:t>
      </w:r>
      <w:r w:rsidRPr="00F922EA">
        <w:rPr>
          <w:rFonts w:ascii="Myriad Pro" w:hAnsi="Myriad Pro"/>
          <w:lang w:val="en-GB"/>
        </w:rPr>
        <w:t xml:space="preserve"> and </w:t>
      </w:r>
      <w:r w:rsidR="008E5CD8" w:rsidRPr="00F922EA">
        <w:rPr>
          <w:rFonts w:ascii="Myriad Pro" w:hAnsi="Myriad Pro"/>
          <w:lang w:val="en-GB"/>
        </w:rPr>
        <w:t xml:space="preserve">have been </w:t>
      </w:r>
      <w:r w:rsidRPr="00F922EA">
        <w:rPr>
          <w:rFonts w:ascii="Myriad Pro" w:hAnsi="Myriad Pro"/>
          <w:lang w:val="en-GB"/>
        </w:rPr>
        <w:t>updated to reflect the new references in the legislation.</w:t>
      </w:r>
    </w:p>
    <w:p w14:paraId="11B15C43" w14:textId="77777777" w:rsidR="00ED1BF1" w:rsidRPr="00F922EA" w:rsidRDefault="00ED1BF1" w:rsidP="00F922EA">
      <w:pPr>
        <w:spacing w:before="240" w:after="120"/>
        <w:jc w:val="both"/>
        <w:rPr>
          <w:rFonts w:ascii="Myriad Pro" w:hAnsi="Myriad Pro"/>
          <w:b/>
          <w:lang w:val="en-GB"/>
        </w:rPr>
      </w:pPr>
      <w:r w:rsidRPr="00F922EA">
        <w:rPr>
          <w:rFonts w:ascii="Myriad Pro" w:hAnsi="Myriad Pro"/>
          <w:b/>
          <w:lang w:val="en-GB"/>
        </w:rPr>
        <w:t>Present situation</w:t>
      </w:r>
    </w:p>
    <w:p w14:paraId="5C2D3893" w14:textId="656196CD" w:rsidR="00ED1BF1" w:rsidRPr="00F922EA" w:rsidRDefault="00ED1BF1" w:rsidP="00C0266E">
      <w:pPr>
        <w:spacing w:before="120"/>
        <w:jc w:val="both"/>
        <w:rPr>
          <w:rFonts w:ascii="Myriad Pro" w:hAnsi="Myriad Pro"/>
          <w:lang w:val="en-GB"/>
        </w:rPr>
      </w:pPr>
      <w:r w:rsidRPr="00F922EA">
        <w:rPr>
          <w:rFonts w:ascii="Myriad Pro" w:hAnsi="Myriad Pro"/>
          <w:lang w:val="en-GB"/>
        </w:rPr>
        <w:t>Regulation (EU) 2019/6</w:t>
      </w:r>
      <w:r w:rsidR="00AF3080" w:rsidRPr="00F922EA">
        <w:rPr>
          <w:rFonts w:ascii="Myriad Pro" w:hAnsi="Myriad Pro"/>
          <w:lang w:val="en-GB"/>
        </w:rPr>
        <w:t>, Article 128,</w:t>
      </w:r>
      <w:r w:rsidRPr="00F922EA">
        <w:rPr>
          <w:rFonts w:ascii="Myriad Pro" w:hAnsi="Myriad Pro"/>
          <w:lang w:val="en-GB"/>
        </w:rPr>
        <w:t xml:space="preserve"> paragraphs 3-9</w:t>
      </w:r>
      <w:r w:rsidR="00F922EA" w:rsidRPr="00F922EA">
        <w:rPr>
          <w:rFonts w:ascii="Myriad Pro" w:hAnsi="Myriad Pro"/>
          <w:lang w:val="en-GB"/>
        </w:rPr>
        <w:t>,</w:t>
      </w:r>
      <w:r w:rsidRPr="00F922EA">
        <w:rPr>
          <w:rFonts w:ascii="Myriad Pro" w:hAnsi="Myriad Pro"/>
          <w:lang w:val="en-GB"/>
        </w:rPr>
        <w:t xml:space="preserve"> </w:t>
      </w:r>
      <w:r w:rsidR="00F922EA" w:rsidRPr="00F922EA">
        <w:rPr>
          <w:rFonts w:ascii="Myriad Pro" w:hAnsi="Myriad Pro"/>
          <w:lang w:val="en-GB"/>
        </w:rPr>
        <w:t>stipulates</w:t>
      </w:r>
      <w:r w:rsidRPr="00F922EA">
        <w:rPr>
          <w:rFonts w:ascii="Myriad Pro" w:hAnsi="Myriad Pro"/>
          <w:lang w:val="en-GB"/>
        </w:rPr>
        <w:t xml:space="preserve"> that</w:t>
      </w:r>
      <w:r w:rsidR="0057674C" w:rsidRPr="00F922EA">
        <w:rPr>
          <w:rFonts w:ascii="Myriad Pro" w:hAnsi="Myriad Pro"/>
          <w:lang w:val="en-GB"/>
        </w:rPr>
        <w:t>,</w:t>
      </w:r>
      <w:r w:rsidRPr="00F922EA">
        <w:rPr>
          <w:rFonts w:ascii="Myriad Pro" w:hAnsi="Myriad Pro"/>
          <w:lang w:val="en-GB"/>
        </w:rPr>
        <w:t xml:space="preserve"> for reasons of human or animal health, a </w:t>
      </w:r>
      <w:r w:rsidR="008E5CD8" w:rsidRPr="00F922EA">
        <w:rPr>
          <w:rFonts w:ascii="Myriad Pro" w:hAnsi="Myriad Pro"/>
          <w:lang w:val="en-GB"/>
        </w:rPr>
        <w:t xml:space="preserve">member state </w:t>
      </w:r>
      <w:r w:rsidRPr="00F922EA">
        <w:rPr>
          <w:rFonts w:ascii="Myriad Pro" w:hAnsi="Myriad Pro"/>
          <w:lang w:val="en-GB"/>
        </w:rPr>
        <w:t>may request samples of each batch of a given IVMP to be submitted to a Competent Authority (CA) for official testing by an Official Medicines Control Laboratory (OMCL) before that batch is released on to the market. This possibility is referred to as Official Control Authority Batch Release (OCABR). In addition</w:t>
      </w:r>
      <w:r w:rsidR="000C6455" w:rsidRPr="00F922EA">
        <w:rPr>
          <w:rFonts w:ascii="Myriad Pro" w:hAnsi="Myriad Pro"/>
          <w:lang w:val="en-GB"/>
        </w:rPr>
        <w:t>,</w:t>
      </w:r>
      <w:r w:rsidRPr="00F922EA">
        <w:rPr>
          <w:rFonts w:ascii="Myriad Pro" w:hAnsi="Myriad Pro"/>
          <w:lang w:val="en-GB"/>
        </w:rPr>
        <w:t xml:space="preserve"> the article obliges </w:t>
      </w:r>
      <w:r w:rsidR="008E5CD8" w:rsidRPr="00F922EA">
        <w:rPr>
          <w:rFonts w:ascii="Myriad Pro" w:hAnsi="Myriad Pro"/>
          <w:lang w:val="en-GB"/>
        </w:rPr>
        <w:t xml:space="preserve">member states </w:t>
      </w:r>
      <w:r w:rsidRPr="00F922EA">
        <w:rPr>
          <w:rFonts w:ascii="Myriad Pro" w:hAnsi="Myriad Pro"/>
          <w:lang w:val="en-GB"/>
        </w:rPr>
        <w:t>to recognise each other’s test results such that any given batch of IVMP for which OCABR is requested is only tested by one CA/OMCL in the EU/EEA.</w:t>
      </w:r>
    </w:p>
    <w:p w14:paraId="4DE04F1F" w14:textId="77777777" w:rsidR="00ED1BF1" w:rsidRPr="00F922EA" w:rsidRDefault="00ED1BF1" w:rsidP="00ED1BF1">
      <w:pPr>
        <w:spacing w:before="120"/>
        <w:jc w:val="both"/>
        <w:rPr>
          <w:rFonts w:ascii="Myriad Pro" w:hAnsi="Myriad Pro"/>
          <w:lang w:val="en-GB"/>
        </w:rPr>
      </w:pPr>
      <w:r w:rsidRPr="00F922EA">
        <w:rPr>
          <w:rFonts w:ascii="Myriad Pro" w:hAnsi="Myriad Pro"/>
          <w:lang w:val="en-GB"/>
        </w:rPr>
        <w:t>In the interest</w:t>
      </w:r>
      <w:r w:rsidR="00B7180F" w:rsidRPr="00F922EA">
        <w:rPr>
          <w:rFonts w:ascii="Myriad Pro" w:hAnsi="Myriad Pro"/>
          <w:lang w:val="en-GB"/>
        </w:rPr>
        <w:t>s</w:t>
      </w:r>
      <w:r w:rsidRPr="00F922EA">
        <w:rPr>
          <w:rFonts w:ascii="Myriad Pro" w:hAnsi="Myriad Pro"/>
          <w:lang w:val="en-GB"/>
        </w:rPr>
        <w:t xml:space="preserve"> of </w:t>
      </w:r>
      <w:r w:rsidR="00B7180F" w:rsidRPr="00F922EA">
        <w:rPr>
          <w:rFonts w:ascii="Myriad Pro" w:hAnsi="Myriad Pro"/>
          <w:lang w:val="en-GB"/>
        </w:rPr>
        <w:t>promoting</w:t>
      </w:r>
      <w:r w:rsidRPr="00F922EA">
        <w:rPr>
          <w:rFonts w:ascii="Myriad Pro" w:hAnsi="Myriad Pro"/>
          <w:lang w:val="en-GB"/>
        </w:rPr>
        <w:t xml:space="preserve"> the free </w:t>
      </w:r>
      <w:r w:rsidR="00B7180F" w:rsidRPr="00F922EA">
        <w:rPr>
          <w:rFonts w:ascii="Myriad Pro" w:hAnsi="Myriad Pro"/>
          <w:lang w:val="en-GB"/>
        </w:rPr>
        <w:t xml:space="preserve">movement </w:t>
      </w:r>
      <w:r w:rsidRPr="00F922EA">
        <w:rPr>
          <w:rFonts w:ascii="Myriad Pro" w:hAnsi="Myriad Pro"/>
          <w:lang w:val="en-GB"/>
        </w:rPr>
        <w:t>of goods and to avoid the unnecessary duplication of effort</w:t>
      </w:r>
      <w:r w:rsidR="00B7180F" w:rsidRPr="00F922EA">
        <w:rPr>
          <w:rFonts w:ascii="Myriad Pro" w:hAnsi="Myriad Pro"/>
          <w:lang w:val="en-GB"/>
        </w:rPr>
        <w:t>,</w:t>
      </w:r>
      <w:r w:rsidRPr="00F922EA">
        <w:rPr>
          <w:rFonts w:ascii="Myriad Pro" w:hAnsi="Myriad Pro"/>
          <w:lang w:val="en-GB"/>
        </w:rPr>
        <w:t xml:space="preserve"> a procedure has also been elaborated to provide a platform that allows one </w:t>
      </w:r>
      <w:r w:rsidR="008E5CD8" w:rsidRPr="00F922EA">
        <w:rPr>
          <w:rFonts w:ascii="Myriad Pro" w:hAnsi="Myriad Pro"/>
          <w:lang w:val="en-GB"/>
        </w:rPr>
        <w:t xml:space="preserve">member state </w:t>
      </w:r>
      <w:r w:rsidRPr="00F922EA">
        <w:rPr>
          <w:rFonts w:ascii="Myriad Pro" w:hAnsi="Myriad Pro"/>
          <w:lang w:val="en-GB"/>
        </w:rPr>
        <w:t xml:space="preserve">to recognise the evaluation of protocols submitted by the </w:t>
      </w:r>
      <w:r w:rsidR="00B57885" w:rsidRPr="00F922EA">
        <w:rPr>
          <w:rFonts w:ascii="Myriad Pro" w:hAnsi="Myriad Pro"/>
          <w:lang w:val="en-GB"/>
        </w:rPr>
        <w:t>marketing authori</w:t>
      </w:r>
      <w:r w:rsidR="0057674C" w:rsidRPr="00F922EA">
        <w:rPr>
          <w:rFonts w:ascii="Myriad Pro" w:hAnsi="Myriad Pro"/>
          <w:lang w:val="en-GB"/>
        </w:rPr>
        <w:t>s</w:t>
      </w:r>
      <w:r w:rsidR="00B57885" w:rsidRPr="00F922EA">
        <w:rPr>
          <w:rFonts w:ascii="Myriad Pro" w:hAnsi="Myriad Pro"/>
          <w:lang w:val="en-GB"/>
        </w:rPr>
        <w:t>ation holder (</w:t>
      </w:r>
      <w:r w:rsidRPr="00F922EA">
        <w:rPr>
          <w:rFonts w:ascii="Myriad Pro" w:hAnsi="Myriad Pro"/>
          <w:lang w:val="en-GB"/>
        </w:rPr>
        <w:t>MAH</w:t>
      </w:r>
      <w:r w:rsidR="00B57885" w:rsidRPr="00F922EA">
        <w:rPr>
          <w:rFonts w:ascii="Myriad Pro" w:hAnsi="Myriad Pro"/>
          <w:lang w:val="en-GB"/>
        </w:rPr>
        <w:t>)</w:t>
      </w:r>
      <w:r w:rsidRPr="00F922EA">
        <w:rPr>
          <w:rFonts w:ascii="Myriad Pro" w:hAnsi="Myriad Pro"/>
          <w:lang w:val="en-GB"/>
        </w:rPr>
        <w:t xml:space="preserve"> under Reg. (EU) 2019/6 Article 128 paragraph 1, by another </w:t>
      </w:r>
      <w:r w:rsidR="008E5CD8" w:rsidRPr="00F922EA">
        <w:rPr>
          <w:rFonts w:ascii="Myriad Pro" w:hAnsi="Myriad Pro"/>
          <w:lang w:val="en-GB"/>
        </w:rPr>
        <w:t>member state</w:t>
      </w:r>
      <w:r w:rsidRPr="00F922EA">
        <w:rPr>
          <w:rFonts w:ascii="Myriad Pro" w:hAnsi="Myriad Pro"/>
          <w:lang w:val="en-GB"/>
        </w:rPr>
        <w:t xml:space="preserve">. </w:t>
      </w:r>
      <w:r w:rsidR="0057674C" w:rsidRPr="00F922EA">
        <w:rPr>
          <w:rFonts w:ascii="Myriad Pro" w:hAnsi="Myriad Pro"/>
          <w:lang w:val="en-GB"/>
        </w:rPr>
        <w:t xml:space="preserve">Recognition </w:t>
      </w:r>
      <w:r w:rsidRPr="00F922EA">
        <w:rPr>
          <w:rFonts w:ascii="Myriad Pro" w:hAnsi="Myriad Pro"/>
          <w:lang w:val="en-GB"/>
        </w:rPr>
        <w:t xml:space="preserve">is by agreement between </w:t>
      </w:r>
      <w:r w:rsidR="008E5CD8" w:rsidRPr="00F922EA">
        <w:rPr>
          <w:rFonts w:ascii="Myriad Pro" w:hAnsi="Myriad Pro"/>
          <w:lang w:val="en-GB"/>
        </w:rPr>
        <w:t xml:space="preserve">member states </w:t>
      </w:r>
      <w:r w:rsidRPr="00F922EA">
        <w:rPr>
          <w:rFonts w:ascii="Myriad Pro" w:hAnsi="Myriad Pro"/>
          <w:lang w:val="en-GB"/>
        </w:rPr>
        <w:t>and is based on good will and mutual confidence. This procedure is referred to as Official Batch Protocol Review (OBPR).</w:t>
      </w:r>
    </w:p>
    <w:p w14:paraId="31482B6F" w14:textId="77777777" w:rsidR="00ED1BF1" w:rsidRPr="00F922EA" w:rsidRDefault="00ED1BF1" w:rsidP="00ED1BF1">
      <w:pPr>
        <w:spacing w:before="120"/>
        <w:jc w:val="both"/>
        <w:rPr>
          <w:rFonts w:ascii="Myriad Pro" w:hAnsi="Myriad Pro"/>
          <w:lang w:val="en-GB"/>
        </w:rPr>
      </w:pPr>
      <w:r w:rsidRPr="00F922EA">
        <w:rPr>
          <w:rFonts w:ascii="Myriad Pro" w:hAnsi="Myriad Pro"/>
          <w:lang w:val="en-GB"/>
        </w:rPr>
        <w:t xml:space="preserve">The procedures and their associated guidelines are applicable in all EU/EEA </w:t>
      </w:r>
      <w:r w:rsidR="008E5CD8" w:rsidRPr="00F922EA">
        <w:rPr>
          <w:rFonts w:ascii="Myriad Pro" w:hAnsi="Myriad Pro"/>
          <w:lang w:val="en-GB"/>
        </w:rPr>
        <w:t>member states</w:t>
      </w:r>
      <w:r w:rsidRPr="00F922EA">
        <w:rPr>
          <w:rFonts w:ascii="Myriad Pro" w:hAnsi="Myriad Pro"/>
          <w:lang w:val="en-GB"/>
        </w:rPr>
        <w:t xml:space="preserve">. OCABR and OBPR performed following these procedures </w:t>
      </w:r>
      <w:r w:rsidR="0057674C" w:rsidRPr="00F922EA">
        <w:rPr>
          <w:rFonts w:ascii="Myriad Pro" w:hAnsi="Myriad Pro"/>
          <w:lang w:val="en-GB"/>
        </w:rPr>
        <w:t xml:space="preserve">are </w:t>
      </w:r>
      <w:r w:rsidRPr="00F922EA">
        <w:rPr>
          <w:rFonts w:ascii="Myriad Pro" w:hAnsi="Myriad Pro"/>
          <w:lang w:val="en-GB"/>
        </w:rPr>
        <w:t xml:space="preserve">also valid in Switzerland in application of the Mutual Recognition Agreement (MRA) between </w:t>
      </w:r>
      <w:r w:rsidR="00B7180F" w:rsidRPr="00F922EA">
        <w:rPr>
          <w:rFonts w:ascii="Myriad Pro" w:hAnsi="Myriad Pro"/>
          <w:lang w:val="en-GB"/>
        </w:rPr>
        <w:t>the latter</w:t>
      </w:r>
      <w:r w:rsidRPr="00F922EA">
        <w:rPr>
          <w:rFonts w:ascii="Myriad Pro" w:hAnsi="Myriad Pro"/>
          <w:lang w:val="en-GB"/>
        </w:rPr>
        <w:t xml:space="preserve"> and the EU </w:t>
      </w:r>
      <w:r w:rsidRPr="00F922EA">
        <w:rPr>
          <w:rFonts w:ascii="Myriad Pro" w:hAnsi="Myriad Pro"/>
          <w:lang w:val="en-GB"/>
        </w:rPr>
        <w:lastRenderedPageBreak/>
        <w:t>(Chapter 15 of Annex 1). Reciprocally, OCABR and OBPR performed in Switzerland according to their specific procedure and resulting in the issue of the relevant certificate will be recognised by the EU/EEA.</w:t>
      </w:r>
    </w:p>
    <w:p w14:paraId="38B70CA1" w14:textId="77777777" w:rsidR="00ED1BF1" w:rsidRPr="00F922EA" w:rsidRDefault="00ED1BF1" w:rsidP="00ED1BF1">
      <w:pPr>
        <w:spacing w:before="120"/>
        <w:jc w:val="both"/>
        <w:rPr>
          <w:rFonts w:ascii="Myriad Pro" w:hAnsi="Myriad Pro"/>
          <w:lang w:val="en-GB"/>
        </w:rPr>
      </w:pPr>
      <w:r w:rsidRPr="00F922EA">
        <w:rPr>
          <w:rFonts w:ascii="Myriad Pro" w:hAnsi="Myriad Pro"/>
          <w:lang w:val="en-GB"/>
        </w:rPr>
        <w:t xml:space="preserve">A list of IVMPs eligible for OCABR using a common restricted testing scheme, as </w:t>
      </w:r>
      <w:r w:rsidR="0057674C" w:rsidRPr="00F922EA">
        <w:rPr>
          <w:rFonts w:ascii="Myriad Pro" w:hAnsi="Myriad Pro"/>
          <w:lang w:val="en-GB"/>
        </w:rPr>
        <w:t>permitted under</w:t>
      </w:r>
      <w:r w:rsidRPr="00F922EA">
        <w:rPr>
          <w:rFonts w:ascii="Myriad Pro" w:hAnsi="Myriad Pro"/>
          <w:lang w:val="en-GB"/>
        </w:rPr>
        <w:t xml:space="preserve"> paragraph</w:t>
      </w:r>
      <w:r w:rsidR="00F85D8D" w:rsidRPr="00F922EA">
        <w:rPr>
          <w:rFonts w:ascii="Myriad Pro" w:hAnsi="Myriad Pro"/>
          <w:lang w:val="en-GB"/>
        </w:rPr>
        <w:t xml:space="preserve"> 6 of Article 128, </w:t>
      </w:r>
      <w:r w:rsidR="00B7180F" w:rsidRPr="00F922EA">
        <w:rPr>
          <w:rFonts w:ascii="Myriad Pro" w:hAnsi="Myriad Pro"/>
          <w:lang w:val="en-GB"/>
        </w:rPr>
        <w:t xml:space="preserve">can be </w:t>
      </w:r>
      <w:r w:rsidR="00F85D8D" w:rsidRPr="00F922EA">
        <w:rPr>
          <w:rFonts w:ascii="Myriad Pro" w:hAnsi="Myriad Pro"/>
          <w:lang w:val="en-GB"/>
        </w:rPr>
        <w:t>found in A</w:t>
      </w:r>
      <w:r w:rsidRPr="00F922EA">
        <w:rPr>
          <w:rFonts w:ascii="Myriad Pro" w:hAnsi="Myriad Pro"/>
          <w:lang w:val="en-GB"/>
        </w:rPr>
        <w:t xml:space="preserve">nnex 1 of the </w:t>
      </w:r>
      <w:r w:rsidR="00B7180F" w:rsidRPr="00F922EA">
        <w:rPr>
          <w:rFonts w:ascii="Myriad Pro" w:hAnsi="Myriad Pro"/>
          <w:lang w:val="en-GB"/>
        </w:rPr>
        <w:t>‘</w:t>
      </w:r>
      <w:r w:rsidRPr="00F922EA">
        <w:rPr>
          <w:rFonts w:ascii="Myriad Pro" w:hAnsi="Myriad Pro"/>
          <w:bCs/>
          <w:color w:val="000000"/>
          <w:szCs w:val="24"/>
          <w:lang w:val="en-GB"/>
        </w:rPr>
        <w:t xml:space="preserve">EU Administrative Procedure for </w:t>
      </w:r>
      <w:r w:rsidRPr="00F922EA">
        <w:rPr>
          <w:rFonts w:ascii="Myriad Pro" w:hAnsi="Myriad Pro"/>
          <w:szCs w:val="24"/>
          <w:lang w:val="en-GB"/>
        </w:rPr>
        <w:t>Application of Official Control Authority Batch Release of Immunological Veterinary Medicinal Products According to Article 128</w:t>
      </w:r>
      <w:r w:rsidR="00B7180F" w:rsidRPr="00F922EA">
        <w:rPr>
          <w:rFonts w:ascii="Myriad Pro" w:hAnsi="Myriad Pro"/>
          <w:szCs w:val="24"/>
          <w:lang w:val="en-GB"/>
        </w:rPr>
        <w:t>’</w:t>
      </w:r>
      <w:r w:rsidRPr="00F922EA">
        <w:rPr>
          <w:rFonts w:ascii="Myriad Pro" w:hAnsi="Myriad Pro"/>
          <w:szCs w:val="24"/>
          <w:lang w:val="en-GB"/>
        </w:rPr>
        <w:t xml:space="preserve">. </w:t>
      </w:r>
      <w:r w:rsidRPr="00F922EA">
        <w:rPr>
          <w:rFonts w:ascii="Myriad Pro" w:hAnsi="Myriad Pro"/>
          <w:lang w:val="en-GB"/>
        </w:rPr>
        <w:t xml:space="preserve">The list was established by </w:t>
      </w:r>
      <w:r w:rsidR="0057674C" w:rsidRPr="00F922EA">
        <w:rPr>
          <w:rFonts w:ascii="Myriad Pro" w:hAnsi="Myriad Pro"/>
          <w:lang w:val="en-GB"/>
        </w:rPr>
        <w:t xml:space="preserve">the </w:t>
      </w:r>
      <w:r w:rsidR="0015150A" w:rsidRPr="00F922EA">
        <w:rPr>
          <w:rFonts w:ascii="Myriad Pro" w:hAnsi="Myriad Pro"/>
          <w:lang w:val="en-GB"/>
        </w:rPr>
        <w:t xml:space="preserve">relevant </w:t>
      </w:r>
      <w:r w:rsidR="008E5CD8" w:rsidRPr="00F922EA">
        <w:rPr>
          <w:rFonts w:ascii="Myriad Pro" w:hAnsi="Myriad Pro"/>
          <w:lang w:val="en-GB"/>
        </w:rPr>
        <w:t xml:space="preserve">member states </w:t>
      </w:r>
      <w:r w:rsidRPr="00F922EA">
        <w:rPr>
          <w:rFonts w:ascii="Myriad Pro" w:hAnsi="Myriad Pro"/>
          <w:lang w:val="en-GB"/>
        </w:rPr>
        <w:t>based on risk assessment and is evaluated regularly and updated as necessary based on the data available and taking into consideration all elements relevant to the current situation.</w:t>
      </w:r>
    </w:p>
    <w:p w14:paraId="616C4504" w14:textId="77777777" w:rsidR="00C0266E" w:rsidRPr="00F922EA" w:rsidRDefault="00C0266E" w:rsidP="00F922EA">
      <w:pPr>
        <w:spacing w:before="240" w:after="120"/>
        <w:jc w:val="center"/>
        <w:rPr>
          <w:rFonts w:ascii="Myriad Pro" w:hAnsi="Myriad Pro"/>
          <w:b/>
          <w:sz w:val="30"/>
          <w:szCs w:val="32"/>
          <w:lang w:val="en-GB"/>
        </w:rPr>
      </w:pPr>
      <w:r w:rsidRPr="00F922EA">
        <w:rPr>
          <w:rFonts w:ascii="Myriad Pro" w:hAnsi="Myriad Pro"/>
          <w:b/>
          <w:sz w:val="26"/>
          <w:szCs w:val="22"/>
          <w:lang w:val="en-GB"/>
        </w:rPr>
        <w:br w:type="page"/>
      </w:r>
      <w:r w:rsidRPr="00F922EA">
        <w:rPr>
          <w:rFonts w:ascii="Myriad Pro" w:hAnsi="Myriad Pro"/>
          <w:b/>
          <w:sz w:val="30"/>
          <w:szCs w:val="32"/>
          <w:lang w:val="en-GB"/>
        </w:rPr>
        <w:lastRenderedPageBreak/>
        <w:t>NOTE FOR USERS</w:t>
      </w:r>
    </w:p>
    <w:p w14:paraId="11A0A411" w14:textId="77777777" w:rsidR="00C0266E" w:rsidRPr="00F922EA" w:rsidRDefault="00C0266E" w:rsidP="00F922EA">
      <w:pPr>
        <w:spacing w:before="120" w:after="120"/>
        <w:jc w:val="center"/>
        <w:rPr>
          <w:rFonts w:ascii="Myriad Pro" w:hAnsi="Myriad Pro"/>
          <w:b/>
          <w:lang w:val="en-GB"/>
        </w:rPr>
      </w:pPr>
      <w:r w:rsidRPr="00F922EA">
        <w:rPr>
          <w:rFonts w:ascii="Myriad Pro" w:hAnsi="Myriad Pro"/>
          <w:b/>
          <w:lang w:val="en-GB"/>
        </w:rPr>
        <w:t>VBRN Procedures and Technical Guidelines</w:t>
      </w:r>
    </w:p>
    <w:p w14:paraId="5AC2CC15" w14:textId="77777777" w:rsidR="00C0266E" w:rsidRPr="00F922EA" w:rsidRDefault="00C0266E" w:rsidP="00C0266E">
      <w:pPr>
        <w:spacing w:before="120"/>
        <w:jc w:val="both"/>
        <w:rPr>
          <w:rFonts w:ascii="Myriad Pro" w:hAnsi="Myriad Pro"/>
          <w:lang w:val="en-GB"/>
        </w:rPr>
      </w:pPr>
      <w:r w:rsidRPr="00F922EA">
        <w:rPr>
          <w:rFonts w:ascii="Myriad Pro" w:hAnsi="Myriad Pro"/>
          <w:lang w:val="en-GB"/>
        </w:rPr>
        <w:t>The documents elaborated by the EDQM and the VBRN comprise 2 procedures, 5 model templates for submissio</w:t>
      </w:r>
      <w:r w:rsidR="00C70F8A" w:rsidRPr="00F922EA">
        <w:rPr>
          <w:rFonts w:ascii="Myriad Pro" w:hAnsi="Myriad Pro"/>
          <w:lang w:val="en-GB"/>
        </w:rPr>
        <w:t>n of protocols by the MAH and 15</w:t>
      </w:r>
      <w:r w:rsidRPr="00F922EA">
        <w:rPr>
          <w:rFonts w:ascii="Myriad Pro" w:hAnsi="Myriad Pro"/>
          <w:lang w:val="en-GB"/>
        </w:rPr>
        <w:t xml:space="preserve"> product</w:t>
      </w:r>
      <w:r w:rsidR="000A4414" w:rsidRPr="00F922EA">
        <w:rPr>
          <w:rFonts w:ascii="Myriad Pro" w:hAnsi="Myriad Pro"/>
          <w:lang w:val="en-GB"/>
        </w:rPr>
        <w:t>-</w:t>
      </w:r>
      <w:r w:rsidRPr="00F922EA">
        <w:rPr>
          <w:rFonts w:ascii="Myriad Pro" w:hAnsi="Myriad Pro"/>
          <w:lang w:val="en-GB"/>
        </w:rPr>
        <w:t>specific guidelines with restricted test lists for OCABR by an OMCL. The product</w:t>
      </w:r>
      <w:r w:rsidR="000A4414" w:rsidRPr="00F922EA">
        <w:rPr>
          <w:rFonts w:ascii="Myriad Pro" w:hAnsi="Myriad Pro"/>
          <w:lang w:val="en-GB"/>
        </w:rPr>
        <w:t>-</w:t>
      </w:r>
      <w:r w:rsidRPr="00F922EA">
        <w:rPr>
          <w:rFonts w:ascii="Myriad Pro" w:hAnsi="Myriad Pro"/>
          <w:lang w:val="en-GB"/>
        </w:rPr>
        <w:t xml:space="preserve">specific guideline for erysipelas vaccine (inactivated) was made obsolete </w:t>
      </w:r>
      <w:r w:rsidR="0057674C" w:rsidRPr="00F922EA">
        <w:rPr>
          <w:rFonts w:ascii="Myriad Pro" w:hAnsi="Myriad Pro"/>
          <w:lang w:val="en-GB"/>
        </w:rPr>
        <w:t>by</w:t>
      </w:r>
      <w:r w:rsidRPr="00F922EA">
        <w:rPr>
          <w:rFonts w:ascii="Myriad Pro" w:hAnsi="Myriad Pro"/>
          <w:lang w:val="en-GB"/>
        </w:rPr>
        <w:t xml:space="preserve"> the removal of erysipelas vaccine (inactivated) from the restricted list (in force from 01/09/17) following a review procedure and common decision by the VBRN members.  </w:t>
      </w:r>
    </w:p>
    <w:p w14:paraId="7E1C2C66" w14:textId="77777777" w:rsidR="00C0266E" w:rsidRPr="00F922EA" w:rsidRDefault="00C0266E" w:rsidP="00C0266E">
      <w:pPr>
        <w:spacing w:before="120"/>
        <w:jc w:val="both"/>
        <w:rPr>
          <w:rFonts w:ascii="Myriad Pro" w:hAnsi="Myriad Pro"/>
          <w:szCs w:val="24"/>
          <w:lang w:val="en-GB"/>
        </w:rPr>
      </w:pPr>
      <w:r w:rsidRPr="00F922EA">
        <w:rPr>
          <w:rFonts w:ascii="Myriad Pro" w:hAnsi="Myriad Pro"/>
          <w:lang w:val="en-GB"/>
        </w:rPr>
        <w:t xml:space="preserve">A Marketing Information Form (MIF) is also available. It </w:t>
      </w:r>
      <w:r w:rsidRPr="00F922EA">
        <w:rPr>
          <w:rFonts w:ascii="Myriad Pro" w:hAnsi="Myriad Pro"/>
          <w:szCs w:val="24"/>
          <w:lang w:val="en-GB"/>
        </w:rPr>
        <w:t xml:space="preserve">should be completed by the MAH and presented, with the batch release certificate (OCABR or OBPR) to the </w:t>
      </w:r>
      <w:r w:rsidR="00644A5F" w:rsidRPr="00F922EA">
        <w:rPr>
          <w:rFonts w:ascii="Myriad Pro" w:hAnsi="Myriad Pro"/>
          <w:szCs w:val="24"/>
          <w:lang w:val="en-GB"/>
        </w:rPr>
        <w:t xml:space="preserve">member state </w:t>
      </w:r>
      <w:r w:rsidRPr="00F922EA">
        <w:rPr>
          <w:rFonts w:ascii="Myriad Pro" w:hAnsi="Myriad Pro"/>
          <w:szCs w:val="24"/>
          <w:lang w:val="en-GB"/>
        </w:rPr>
        <w:t>where the batch will be marketed.</w:t>
      </w:r>
    </w:p>
    <w:p w14:paraId="19E03F0A" w14:textId="3BBC2DD6" w:rsidR="00C0266E" w:rsidRPr="00F922EA" w:rsidRDefault="00C0266E" w:rsidP="00F922EA">
      <w:pPr>
        <w:spacing w:before="120"/>
        <w:jc w:val="both"/>
        <w:rPr>
          <w:rFonts w:ascii="Myriad Pro" w:hAnsi="Myriad Pro"/>
          <w:lang w:val="en-GB"/>
        </w:rPr>
      </w:pPr>
      <w:r w:rsidRPr="00F922EA">
        <w:rPr>
          <w:rFonts w:ascii="Myriad Pro" w:hAnsi="Myriad Pro"/>
          <w:lang w:val="en-GB"/>
        </w:rPr>
        <w:t>All guidelines and procedures are available exclusively on the EDQM website (</w:t>
      </w:r>
      <w:hyperlink r:id="rId7" w:history="1">
        <w:r w:rsidR="00222F85" w:rsidRPr="008F24E0">
          <w:rPr>
            <w:rStyle w:val="Hyperlink"/>
            <w:rFonts w:ascii="Myriad Pro" w:hAnsi="Myriad Pro"/>
            <w:lang w:val="en-GB"/>
          </w:rPr>
          <w:t>https://www.edqm.eu/en/guidelines-for-eu-ocabr-for-ivmps</w:t>
        </w:r>
      </w:hyperlink>
      <w:r w:rsidRPr="00F922EA">
        <w:rPr>
          <w:rFonts w:ascii="Myriad Pro" w:hAnsi="Myriad Pro"/>
          <w:lang w:val="en-GB"/>
        </w:rPr>
        <w:t xml:space="preserve">). The complete list is presented in a table from which the files may be downloaded. The table indicates the date of entry into force of the relevant document and the last date on which </w:t>
      </w:r>
      <w:r w:rsidR="0056268F" w:rsidRPr="00F922EA">
        <w:rPr>
          <w:rFonts w:ascii="Myriad Pro" w:hAnsi="Myriad Pro"/>
          <w:lang w:val="en-GB"/>
        </w:rPr>
        <w:t xml:space="preserve">it was updated on </w:t>
      </w:r>
      <w:r w:rsidRPr="00F922EA">
        <w:rPr>
          <w:rFonts w:ascii="Myriad Pro" w:hAnsi="Myriad Pro"/>
          <w:lang w:val="en-GB"/>
        </w:rPr>
        <w:t>the website.</w:t>
      </w:r>
    </w:p>
    <w:p w14:paraId="4ADF3162" w14:textId="77777777" w:rsidR="00C0266E" w:rsidRPr="00F922EA" w:rsidRDefault="00C0266E" w:rsidP="00F922EA">
      <w:pPr>
        <w:spacing w:before="120"/>
        <w:jc w:val="both"/>
        <w:rPr>
          <w:rFonts w:ascii="Myriad Pro" w:hAnsi="Myriad Pro"/>
          <w:lang w:val="en-GB"/>
        </w:rPr>
      </w:pPr>
      <w:r w:rsidRPr="00F922EA">
        <w:rPr>
          <w:rFonts w:ascii="Myriad Pro" w:hAnsi="Myriad Pro"/>
          <w:lang w:val="en-GB"/>
        </w:rPr>
        <w:t xml:space="preserve">The guidelines will be updated on an on-going basis as needed. New and revised versions will be </w:t>
      </w:r>
      <w:r w:rsidR="0056268F" w:rsidRPr="00F922EA">
        <w:rPr>
          <w:rFonts w:ascii="Myriad Pro" w:hAnsi="Myriad Pro"/>
          <w:lang w:val="en-GB"/>
        </w:rPr>
        <w:t xml:space="preserve">posted </w:t>
      </w:r>
      <w:r w:rsidRPr="00F922EA">
        <w:rPr>
          <w:rFonts w:ascii="Myriad Pro" w:hAnsi="Myriad Pro"/>
          <w:lang w:val="en-GB"/>
        </w:rPr>
        <w:t xml:space="preserve">on the website within one month of their date of entry into force. Users are encouraged to visit the site regularly to ensure they are using the most recent versions.  </w:t>
      </w:r>
    </w:p>
    <w:p w14:paraId="6F7652C4" w14:textId="09D67642" w:rsidR="00C0266E" w:rsidRPr="00F922EA" w:rsidRDefault="0048643A" w:rsidP="00F922EA">
      <w:pPr>
        <w:pStyle w:val="Heading3"/>
        <w:jc w:val="both"/>
        <w:rPr>
          <w:rFonts w:ascii="Myriad Pro" w:hAnsi="Myriad Pro"/>
          <w:b w:val="0"/>
          <w:szCs w:val="24"/>
        </w:rPr>
      </w:pPr>
      <w:r w:rsidRPr="00F922EA">
        <w:rPr>
          <w:rFonts w:ascii="Myriad Pro" w:hAnsi="Myriad Pro"/>
          <w:b w:val="0"/>
          <w:szCs w:val="24"/>
        </w:rPr>
        <w:t xml:space="preserve">Recent </w:t>
      </w:r>
      <w:r w:rsidR="00C0266E" w:rsidRPr="00F922EA">
        <w:rPr>
          <w:rFonts w:ascii="Myriad Pro" w:hAnsi="Myriad Pro"/>
          <w:b w:val="0"/>
          <w:szCs w:val="24"/>
        </w:rPr>
        <w:t>addition</w:t>
      </w:r>
      <w:r w:rsidR="0057674C" w:rsidRPr="00F922EA">
        <w:rPr>
          <w:rFonts w:ascii="Myriad Pro" w:hAnsi="Myriad Pro"/>
          <w:b w:val="0"/>
          <w:szCs w:val="24"/>
        </w:rPr>
        <w:t>s</w:t>
      </w:r>
      <w:r w:rsidR="00C0266E" w:rsidRPr="00F922EA">
        <w:rPr>
          <w:rFonts w:ascii="Myriad Pro" w:hAnsi="Myriad Pro"/>
          <w:b w:val="0"/>
          <w:szCs w:val="24"/>
        </w:rPr>
        <w:t xml:space="preserve"> and revision updates </w:t>
      </w:r>
      <w:r w:rsidRPr="00F922EA">
        <w:rPr>
          <w:rFonts w:ascii="Myriad Pro" w:hAnsi="Myriad Pro"/>
          <w:b w:val="0"/>
          <w:szCs w:val="24"/>
        </w:rPr>
        <w:t>are highlighted</w:t>
      </w:r>
      <w:r w:rsidR="00C0266E" w:rsidRPr="00F922EA">
        <w:rPr>
          <w:rFonts w:ascii="Myriad Pro" w:hAnsi="Myriad Pro"/>
          <w:b w:val="0"/>
          <w:szCs w:val="24"/>
        </w:rPr>
        <w:t xml:space="preserve"> in the </w:t>
      </w:r>
      <w:r w:rsidR="00222F85" w:rsidRPr="00F922EA">
        <w:rPr>
          <w:rFonts w:ascii="Myriad Pro" w:hAnsi="Myriad Pro"/>
          <w:b w:val="0"/>
          <w:szCs w:val="24"/>
        </w:rPr>
        <w:t>right-side</w:t>
      </w:r>
      <w:r w:rsidR="00C0266E" w:rsidRPr="00F922EA">
        <w:rPr>
          <w:rFonts w:ascii="Myriad Pro" w:hAnsi="Myriad Pro"/>
          <w:b w:val="0"/>
          <w:szCs w:val="24"/>
        </w:rPr>
        <w:t xml:space="preserve"> bar of the same page.</w:t>
      </w:r>
    </w:p>
    <w:p w14:paraId="29522510" w14:textId="77777777" w:rsidR="00C0266E" w:rsidRPr="00F922EA" w:rsidRDefault="00C0266E" w:rsidP="00F922EA">
      <w:pPr>
        <w:spacing w:before="120"/>
        <w:jc w:val="both"/>
        <w:rPr>
          <w:rFonts w:ascii="Myriad Pro" w:hAnsi="Myriad Pro"/>
          <w:szCs w:val="24"/>
          <w:lang w:val="en-GB"/>
        </w:rPr>
      </w:pPr>
      <w:r w:rsidRPr="00F922EA">
        <w:rPr>
          <w:rFonts w:ascii="Myriad Pro" w:hAnsi="Myriad Pro"/>
          <w:szCs w:val="24"/>
          <w:lang w:val="en-GB"/>
        </w:rPr>
        <w:t>Each individual guideline is clearly identified on the title page. For continuity and transparency</w:t>
      </w:r>
      <w:r w:rsidR="0048643A" w:rsidRPr="00F922EA">
        <w:rPr>
          <w:rFonts w:ascii="Myriad Pro" w:hAnsi="Myriad Pro"/>
          <w:szCs w:val="24"/>
          <w:lang w:val="en-GB"/>
        </w:rPr>
        <w:t>,</w:t>
      </w:r>
      <w:r w:rsidRPr="00F922EA">
        <w:rPr>
          <w:rFonts w:ascii="Myriad Pro" w:hAnsi="Myriad Pro"/>
          <w:szCs w:val="24"/>
          <w:lang w:val="en-GB"/>
        </w:rPr>
        <w:t xml:space="preserve"> previous guideline names and other editorial information are provided.  </w:t>
      </w:r>
    </w:p>
    <w:p w14:paraId="4F649407" w14:textId="77777777" w:rsidR="00C0266E" w:rsidRPr="00F319D4" w:rsidRDefault="00C0266E" w:rsidP="00F922EA">
      <w:pPr>
        <w:pStyle w:val="Heading1"/>
        <w:spacing w:before="240" w:after="120"/>
        <w:rPr>
          <w:rFonts w:ascii="Myriad Pro" w:hAnsi="Myriad Pro"/>
          <w:b w:val="0"/>
          <w:lang w:val="en-GB"/>
        </w:rPr>
      </w:pPr>
      <w:r w:rsidRPr="00F319D4">
        <w:rPr>
          <w:rFonts w:ascii="Myriad Pro" w:hAnsi="Myriad Pro"/>
          <w:b w:val="0"/>
          <w:lang w:val="en-GB"/>
        </w:rPr>
        <w:t xml:space="preserve">Administrative Procedures </w:t>
      </w:r>
    </w:p>
    <w:p w14:paraId="608FB9BE" w14:textId="77777777" w:rsidR="00C0266E" w:rsidRPr="00F922EA" w:rsidRDefault="00C0266E" w:rsidP="00F922EA">
      <w:pPr>
        <w:pStyle w:val="BodyText"/>
        <w:spacing w:before="60" w:after="240"/>
        <w:rPr>
          <w:rFonts w:ascii="Myriad Pro" w:hAnsi="Myriad Pro"/>
        </w:rPr>
      </w:pPr>
      <w:r w:rsidRPr="00F922EA">
        <w:rPr>
          <w:rFonts w:ascii="Myriad Pro" w:hAnsi="Myriad Pro"/>
        </w:rPr>
        <w:t xml:space="preserve">The </w:t>
      </w:r>
      <w:r w:rsidRPr="00F922EA">
        <w:rPr>
          <w:rFonts w:ascii="Myriad Pro" w:hAnsi="Myriad Pro"/>
          <w:bCs/>
          <w:color w:val="000000"/>
          <w:szCs w:val="24"/>
        </w:rPr>
        <w:t>procedure for</w:t>
      </w:r>
      <w:r w:rsidRPr="00F922EA">
        <w:rPr>
          <w:rFonts w:ascii="Myriad Pro" w:hAnsi="Myriad Pro"/>
          <w:szCs w:val="24"/>
        </w:rPr>
        <w:t xml:space="preserve"> a harmonised application of </w:t>
      </w:r>
      <w:r w:rsidR="00C575F8" w:rsidRPr="00F922EA">
        <w:rPr>
          <w:rFonts w:ascii="Myriad Pro" w:hAnsi="Myriad Pro"/>
          <w:szCs w:val="24"/>
        </w:rPr>
        <w:t>OBPR</w:t>
      </w:r>
      <w:r w:rsidRPr="00F922EA">
        <w:rPr>
          <w:rFonts w:ascii="Myriad Pro" w:hAnsi="Myriad Pro"/>
          <w:szCs w:val="24"/>
        </w:rPr>
        <w:t xml:space="preserve"> </w:t>
      </w:r>
      <w:r w:rsidRPr="00F922EA">
        <w:rPr>
          <w:rFonts w:ascii="Myriad Pro" w:hAnsi="Myriad Pro"/>
        </w:rPr>
        <w:t xml:space="preserve">and the </w:t>
      </w:r>
      <w:r w:rsidRPr="00F922EA">
        <w:rPr>
          <w:rFonts w:ascii="Myriad Pro" w:hAnsi="Myriad Pro"/>
          <w:bCs/>
          <w:color w:val="000000"/>
          <w:szCs w:val="24"/>
        </w:rPr>
        <w:t xml:space="preserve">procedure for </w:t>
      </w:r>
      <w:r w:rsidRPr="00F922EA">
        <w:rPr>
          <w:rFonts w:ascii="Myriad Pro" w:hAnsi="Myriad Pro"/>
          <w:szCs w:val="24"/>
        </w:rPr>
        <w:t xml:space="preserve">application of </w:t>
      </w:r>
      <w:r w:rsidR="00C575F8" w:rsidRPr="00F922EA">
        <w:rPr>
          <w:rFonts w:ascii="Myriad Pro" w:hAnsi="Myriad Pro"/>
          <w:szCs w:val="24"/>
        </w:rPr>
        <w:t>OCABR</w:t>
      </w:r>
      <w:r w:rsidRPr="00F922EA">
        <w:rPr>
          <w:rFonts w:ascii="Myriad Pro" w:hAnsi="Myriad Pro"/>
          <w:szCs w:val="24"/>
        </w:rPr>
        <w:t xml:space="preserve"> </w:t>
      </w:r>
      <w:r w:rsidRPr="00F922EA">
        <w:rPr>
          <w:rFonts w:ascii="Myriad Pro" w:hAnsi="Myriad Pro"/>
        </w:rPr>
        <w:t xml:space="preserve">clearly outline the steps to be followed by OMCLs and MAHs. They also contain </w:t>
      </w:r>
      <w:proofErr w:type="gramStart"/>
      <w:r w:rsidRPr="00F922EA">
        <w:rPr>
          <w:rFonts w:ascii="Myriad Pro" w:hAnsi="Myriad Pro"/>
        </w:rPr>
        <w:t>a number of</w:t>
      </w:r>
      <w:proofErr w:type="gramEnd"/>
      <w:r w:rsidRPr="00F922EA">
        <w:rPr>
          <w:rFonts w:ascii="Myriad Pro" w:hAnsi="Myriad Pro"/>
        </w:rPr>
        <w:t xml:space="preserve"> annexes with templates for communication between MAHs and OMCLs and between OMCLs, including model certificates for OCABR and OBPR.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380"/>
        <w:gridCol w:w="1177"/>
        <w:gridCol w:w="3931"/>
      </w:tblGrid>
      <w:tr w:rsidR="00C0266E" w:rsidRPr="00F922EA" w14:paraId="20FA5915" w14:textId="77777777" w:rsidTr="0015150A">
        <w:tc>
          <w:tcPr>
            <w:tcW w:w="2348" w:type="pct"/>
            <w:gridSpan w:val="2"/>
            <w:shd w:val="clear" w:color="auto" w:fill="auto"/>
          </w:tcPr>
          <w:p w14:paraId="04D588C4" w14:textId="63100DE6" w:rsidR="00C0266E" w:rsidRPr="00F922EA" w:rsidRDefault="00C0266E" w:rsidP="00F319D4">
            <w:pPr>
              <w:pStyle w:val="BodyText"/>
              <w:spacing w:after="120"/>
              <w:rPr>
                <w:rFonts w:ascii="Myriad Pro" w:hAnsi="Myriad Pro"/>
                <w:b/>
                <w:bCs/>
                <w:color w:val="000000"/>
                <w:szCs w:val="24"/>
              </w:rPr>
            </w:pPr>
            <w:r w:rsidRPr="00F922EA">
              <w:rPr>
                <w:rFonts w:ascii="Myriad Pro" w:hAnsi="Myriad Pro"/>
                <w:b/>
                <w:bCs/>
                <w:color w:val="000000"/>
                <w:sz w:val="20"/>
              </w:rPr>
              <w:t xml:space="preserve">EU Administrative Procedure </w:t>
            </w:r>
            <w:r w:rsidR="00222F85" w:rsidRPr="00F922EA">
              <w:rPr>
                <w:rFonts w:ascii="Myriad Pro" w:hAnsi="Myriad Pro"/>
                <w:b/>
                <w:bCs/>
                <w:color w:val="000000"/>
                <w:sz w:val="20"/>
              </w:rPr>
              <w:t>for</w:t>
            </w:r>
            <w:r w:rsidRPr="00F922EA">
              <w:rPr>
                <w:rFonts w:ascii="Myriad Pro" w:hAnsi="Myriad Pro"/>
                <w:b/>
                <w:bCs/>
                <w:color w:val="000000"/>
                <w:sz w:val="20"/>
              </w:rPr>
              <w:t xml:space="preserve"> </w:t>
            </w:r>
            <w:r w:rsidRPr="00F922EA">
              <w:rPr>
                <w:rFonts w:ascii="Myriad Pro" w:hAnsi="Myriad Pro"/>
                <w:b/>
                <w:sz w:val="20"/>
              </w:rPr>
              <w:t>Harmonised Application of Official Batch Protocol Review of Immunological Veterinary Medicinal Products</w:t>
            </w:r>
            <w:r w:rsidR="00C575F8" w:rsidRPr="00F922EA">
              <w:rPr>
                <w:rFonts w:ascii="Myriad Pro" w:hAnsi="Myriad Pro"/>
                <w:b/>
                <w:sz w:val="20"/>
              </w:rPr>
              <w:t xml:space="preserve"> According to Article 128</w:t>
            </w:r>
          </w:p>
        </w:tc>
        <w:tc>
          <w:tcPr>
            <w:tcW w:w="2652" w:type="pct"/>
            <w:gridSpan w:val="2"/>
            <w:shd w:val="clear" w:color="auto" w:fill="auto"/>
          </w:tcPr>
          <w:p w14:paraId="0EEC7969" w14:textId="77777777" w:rsidR="00C0266E" w:rsidRPr="00F922EA" w:rsidRDefault="00C0266E" w:rsidP="00F319D4">
            <w:pPr>
              <w:pStyle w:val="BodyText"/>
              <w:spacing w:after="120"/>
              <w:rPr>
                <w:rFonts w:ascii="Myriad Pro" w:hAnsi="Myriad Pro"/>
                <w:b/>
                <w:bCs/>
                <w:color w:val="000000"/>
                <w:sz w:val="20"/>
              </w:rPr>
            </w:pPr>
            <w:r w:rsidRPr="00F922EA">
              <w:rPr>
                <w:rFonts w:ascii="Myriad Pro" w:hAnsi="Myriad Pro"/>
                <w:b/>
                <w:bCs/>
                <w:color w:val="000000"/>
                <w:sz w:val="20"/>
              </w:rPr>
              <w:t xml:space="preserve">EU Administrative Procedure for </w:t>
            </w:r>
            <w:r w:rsidRPr="00F922EA">
              <w:rPr>
                <w:rFonts w:ascii="Myriad Pro" w:hAnsi="Myriad Pro"/>
                <w:b/>
                <w:sz w:val="20"/>
              </w:rPr>
              <w:t>Application of Official Control Authority Batch Release of Immunological Veterinary Medicinal Products</w:t>
            </w:r>
            <w:r w:rsidR="00C575F8" w:rsidRPr="00F922EA">
              <w:rPr>
                <w:rFonts w:ascii="Myriad Pro" w:hAnsi="Myriad Pro"/>
                <w:b/>
                <w:sz w:val="20"/>
              </w:rPr>
              <w:t xml:space="preserve"> According to Article 128</w:t>
            </w:r>
          </w:p>
        </w:tc>
      </w:tr>
      <w:tr w:rsidR="00C0266E" w:rsidRPr="00F922EA" w14:paraId="7CA3605A" w14:textId="77777777" w:rsidTr="0015150A">
        <w:tc>
          <w:tcPr>
            <w:tcW w:w="593" w:type="pct"/>
            <w:shd w:val="clear" w:color="auto" w:fill="auto"/>
          </w:tcPr>
          <w:p w14:paraId="3F384D5A"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bCs/>
                <w:color w:val="000000"/>
                <w:sz w:val="18"/>
                <w:szCs w:val="18"/>
              </w:rPr>
              <w:t>Annex I</w:t>
            </w:r>
          </w:p>
        </w:tc>
        <w:tc>
          <w:tcPr>
            <w:tcW w:w="1755" w:type="pct"/>
            <w:shd w:val="clear" w:color="auto" w:fill="auto"/>
          </w:tcPr>
          <w:p w14:paraId="6DFC3D8D"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caps/>
                <w:sz w:val="18"/>
                <w:szCs w:val="18"/>
              </w:rPr>
              <w:t>model letter</w:t>
            </w:r>
            <w:r w:rsidRPr="00F922EA">
              <w:rPr>
                <w:rFonts w:ascii="Myriad Pro" w:hAnsi="Myriad Pro"/>
                <w:sz w:val="18"/>
                <w:szCs w:val="18"/>
              </w:rPr>
              <w:t xml:space="preserve"> from a Competent Authority of a Member State to the Marketing Authorisation Holder as regards </w:t>
            </w:r>
            <w:r w:rsidR="0056268F" w:rsidRPr="00F922EA">
              <w:rPr>
                <w:rFonts w:ascii="Myriad Pro" w:hAnsi="Myriad Pro"/>
                <w:sz w:val="18"/>
                <w:szCs w:val="18"/>
              </w:rPr>
              <w:t xml:space="preserve">the requirement of </w:t>
            </w:r>
            <w:r w:rsidRPr="00F922EA">
              <w:rPr>
                <w:rFonts w:ascii="Myriad Pro" w:hAnsi="Myriad Pro"/>
                <w:sz w:val="18"/>
                <w:szCs w:val="18"/>
              </w:rPr>
              <w:t>Official Batch Protocol Review of Immunological Veterinary Medicinal Products</w:t>
            </w:r>
          </w:p>
        </w:tc>
        <w:tc>
          <w:tcPr>
            <w:tcW w:w="611" w:type="pct"/>
            <w:shd w:val="clear" w:color="auto" w:fill="auto"/>
          </w:tcPr>
          <w:p w14:paraId="00D22B7C"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bCs/>
                <w:color w:val="000000"/>
                <w:sz w:val="18"/>
                <w:szCs w:val="18"/>
              </w:rPr>
              <w:t>Annex I</w:t>
            </w:r>
          </w:p>
        </w:tc>
        <w:tc>
          <w:tcPr>
            <w:tcW w:w="2041" w:type="pct"/>
            <w:shd w:val="clear" w:color="auto" w:fill="auto"/>
          </w:tcPr>
          <w:p w14:paraId="19DADED5" w14:textId="77777777" w:rsidR="00C0266E" w:rsidRPr="00F922EA" w:rsidRDefault="00C0266E" w:rsidP="00F319D4">
            <w:pPr>
              <w:widowControl w:val="0"/>
              <w:spacing w:before="120" w:after="120"/>
              <w:ind w:left="34"/>
              <w:rPr>
                <w:rFonts w:ascii="Myriad Pro" w:hAnsi="Myriad Pro"/>
                <w:sz w:val="18"/>
                <w:szCs w:val="18"/>
                <w:lang w:val="en-GB"/>
              </w:rPr>
            </w:pPr>
            <w:r w:rsidRPr="00F922EA">
              <w:rPr>
                <w:rFonts w:ascii="Myriad Pro" w:hAnsi="Myriad Pro"/>
                <w:sz w:val="18"/>
                <w:szCs w:val="18"/>
                <w:lang w:val="en-GB"/>
              </w:rPr>
              <w:t>SHORT LIST OF IVMPs for which a restricted test list for OMCLs has been agreed and list of associated guidelines for OMCLs</w:t>
            </w:r>
          </w:p>
        </w:tc>
      </w:tr>
      <w:tr w:rsidR="00C0266E" w:rsidRPr="00F922EA" w14:paraId="17EB0DDD" w14:textId="77777777" w:rsidTr="0015150A">
        <w:tc>
          <w:tcPr>
            <w:tcW w:w="593" w:type="pct"/>
            <w:shd w:val="clear" w:color="auto" w:fill="auto"/>
          </w:tcPr>
          <w:p w14:paraId="22B45345"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bCs/>
                <w:color w:val="000000"/>
                <w:sz w:val="18"/>
                <w:szCs w:val="18"/>
              </w:rPr>
              <w:t xml:space="preserve">Annex </w:t>
            </w:r>
            <w:proofErr w:type="spellStart"/>
            <w:r w:rsidRPr="00F922EA">
              <w:rPr>
                <w:rFonts w:ascii="Myriad Pro" w:hAnsi="Myriad Pro"/>
                <w:bCs/>
                <w:color w:val="000000"/>
                <w:sz w:val="18"/>
                <w:szCs w:val="18"/>
              </w:rPr>
              <w:t>IIa</w:t>
            </w:r>
            <w:proofErr w:type="spellEnd"/>
            <w:r w:rsidRPr="00F922EA">
              <w:rPr>
                <w:rFonts w:ascii="Myriad Pro" w:hAnsi="Myriad Pro"/>
                <w:bCs/>
                <w:color w:val="000000"/>
                <w:sz w:val="18"/>
                <w:szCs w:val="18"/>
              </w:rPr>
              <w:t xml:space="preserve"> </w:t>
            </w:r>
          </w:p>
        </w:tc>
        <w:tc>
          <w:tcPr>
            <w:tcW w:w="1755" w:type="pct"/>
            <w:shd w:val="clear" w:color="auto" w:fill="auto"/>
          </w:tcPr>
          <w:p w14:paraId="7AEB55F4" w14:textId="77777777" w:rsidR="00C0266E" w:rsidRPr="00F922EA" w:rsidRDefault="00C0266E" w:rsidP="00F319D4">
            <w:pPr>
              <w:widowControl w:val="0"/>
              <w:spacing w:before="120" w:after="120"/>
              <w:rPr>
                <w:rFonts w:ascii="Myriad Pro" w:hAnsi="Myriad Pro"/>
                <w:sz w:val="18"/>
                <w:szCs w:val="18"/>
                <w:lang w:val="en-GB"/>
              </w:rPr>
            </w:pPr>
            <w:r w:rsidRPr="00F922EA">
              <w:rPr>
                <w:rFonts w:ascii="Myriad Pro" w:hAnsi="Myriad Pro"/>
                <w:sz w:val="18"/>
                <w:szCs w:val="18"/>
                <w:lang w:val="en-GB"/>
              </w:rPr>
              <w:t xml:space="preserve">EU/EEA Official Batch Protocol Review Certificate </w:t>
            </w:r>
            <w:r w:rsidR="0056268F" w:rsidRPr="00F922EA">
              <w:rPr>
                <w:rFonts w:ascii="Myriad Pro" w:hAnsi="Myriad Pro"/>
                <w:sz w:val="18"/>
                <w:szCs w:val="18"/>
                <w:lang w:val="en-GB"/>
              </w:rPr>
              <w:t xml:space="preserve">of </w:t>
            </w:r>
            <w:r w:rsidRPr="00F922EA">
              <w:rPr>
                <w:rFonts w:ascii="Myriad Pro" w:hAnsi="Myriad Pro"/>
                <w:sz w:val="18"/>
                <w:szCs w:val="18"/>
                <w:lang w:val="en-GB"/>
              </w:rPr>
              <w:t xml:space="preserve">Approval </w:t>
            </w:r>
            <w:r w:rsidR="0056268F" w:rsidRPr="00F922EA">
              <w:rPr>
                <w:rFonts w:ascii="Myriad Pro" w:hAnsi="Myriad Pro"/>
                <w:sz w:val="18"/>
                <w:szCs w:val="18"/>
                <w:lang w:val="en-GB"/>
              </w:rPr>
              <w:t xml:space="preserve">for </w:t>
            </w:r>
            <w:r w:rsidRPr="00F922EA">
              <w:rPr>
                <w:rFonts w:ascii="Myriad Pro" w:hAnsi="Myriad Pro"/>
                <w:sz w:val="18"/>
                <w:szCs w:val="18"/>
                <w:lang w:val="en-GB"/>
              </w:rPr>
              <w:t>Immunological Veterinary Medicinal Products</w:t>
            </w:r>
          </w:p>
        </w:tc>
        <w:tc>
          <w:tcPr>
            <w:tcW w:w="611" w:type="pct"/>
            <w:shd w:val="clear" w:color="auto" w:fill="auto"/>
          </w:tcPr>
          <w:p w14:paraId="314D7451"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bCs/>
                <w:color w:val="000000"/>
                <w:sz w:val="18"/>
                <w:szCs w:val="18"/>
              </w:rPr>
              <w:t xml:space="preserve">Annex II </w:t>
            </w:r>
          </w:p>
        </w:tc>
        <w:tc>
          <w:tcPr>
            <w:tcW w:w="2041" w:type="pct"/>
            <w:shd w:val="clear" w:color="auto" w:fill="auto"/>
          </w:tcPr>
          <w:p w14:paraId="037418E0" w14:textId="77777777" w:rsidR="00C0266E" w:rsidRPr="00F922EA" w:rsidRDefault="00C0266E" w:rsidP="00F319D4">
            <w:pPr>
              <w:widowControl w:val="0"/>
              <w:spacing w:before="120" w:after="120"/>
              <w:rPr>
                <w:rFonts w:ascii="Myriad Pro" w:hAnsi="Myriad Pro"/>
                <w:bCs/>
                <w:color w:val="000000"/>
                <w:sz w:val="18"/>
                <w:szCs w:val="18"/>
                <w:lang w:val="en-GB"/>
              </w:rPr>
            </w:pPr>
            <w:r w:rsidRPr="00F922EA">
              <w:rPr>
                <w:rFonts w:ascii="Myriad Pro" w:hAnsi="Myriad Pro"/>
                <w:caps/>
                <w:sz w:val="18"/>
                <w:szCs w:val="18"/>
                <w:lang w:val="en-GB"/>
              </w:rPr>
              <w:t>model letter</w:t>
            </w:r>
            <w:r w:rsidRPr="00F922EA">
              <w:rPr>
                <w:rFonts w:ascii="Myriad Pro" w:hAnsi="Myriad Pro"/>
                <w:sz w:val="18"/>
                <w:szCs w:val="18"/>
                <w:lang w:val="en-GB"/>
              </w:rPr>
              <w:t xml:space="preserve"> from a Competent Authority of a Member State to the Marketing Authorisation Holder as regards Official Control Authority Batch Release of Immunological Veterinary Medicinal Products </w:t>
            </w:r>
          </w:p>
        </w:tc>
      </w:tr>
    </w:tbl>
    <w:p w14:paraId="2F7F8B83" w14:textId="77777777" w:rsidR="00C0266E" w:rsidRPr="00F922EA" w:rsidRDefault="00C0266E" w:rsidP="00C0266E">
      <w:pPr>
        <w:rPr>
          <w:rFonts w:ascii="Myriad Pro" w:hAnsi="Myriad Pro"/>
          <w:lang w:val="en-GB"/>
        </w:rPr>
      </w:pPr>
      <w:r w:rsidRPr="00F922EA">
        <w:rPr>
          <w:rFonts w:ascii="Myriad Pro" w:hAnsi="Myriad Pro"/>
          <w:lang w:val="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380"/>
        <w:gridCol w:w="1177"/>
        <w:gridCol w:w="3931"/>
      </w:tblGrid>
      <w:tr w:rsidR="00C0266E" w:rsidRPr="00F922EA" w14:paraId="27E4FC57" w14:textId="77777777" w:rsidTr="0015150A">
        <w:tc>
          <w:tcPr>
            <w:tcW w:w="593" w:type="pct"/>
            <w:shd w:val="clear" w:color="auto" w:fill="auto"/>
          </w:tcPr>
          <w:p w14:paraId="4B17EB38"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bCs/>
                <w:color w:val="000000"/>
                <w:sz w:val="18"/>
                <w:szCs w:val="18"/>
              </w:rPr>
              <w:lastRenderedPageBreak/>
              <w:t>Annex IIb</w:t>
            </w:r>
          </w:p>
        </w:tc>
        <w:tc>
          <w:tcPr>
            <w:tcW w:w="1755" w:type="pct"/>
            <w:shd w:val="clear" w:color="auto" w:fill="auto"/>
          </w:tcPr>
          <w:p w14:paraId="6FA799E2" w14:textId="77777777" w:rsidR="00C0266E" w:rsidRPr="00F922EA" w:rsidRDefault="00C0266E" w:rsidP="00F319D4">
            <w:pPr>
              <w:widowControl w:val="0"/>
              <w:spacing w:before="120" w:after="120"/>
              <w:ind w:right="33"/>
              <w:rPr>
                <w:rFonts w:ascii="Myriad Pro" w:hAnsi="Myriad Pro"/>
                <w:sz w:val="18"/>
                <w:szCs w:val="18"/>
                <w:lang w:val="en-GB"/>
              </w:rPr>
            </w:pPr>
            <w:r w:rsidRPr="00F922EA">
              <w:rPr>
                <w:rFonts w:ascii="Myriad Pro" w:hAnsi="Myriad Pro"/>
                <w:sz w:val="18"/>
                <w:szCs w:val="18"/>
                <w:lang w:val="en-GB"/>
              </w:rPr>
              <w:t xml:space="preserve">EU/EEA Official Batch Protocol Review </w:t>
            </w:r>
            <w:r w:rsidR="0056268F" w:rsidRPr="00F922EA">
              <w:rPr>
                <w:rFonts w:ascii="Myriad Pro" w:hAnsi="Myriad Pro"/>
                <w:sz w:val="18"/>
                <w:szCs w:val="18"/>
                <w:lang w:val="en-GB"/>
              </w:rPr>
              <w:t xml:space="preserve">for </w:t>
            </w:r>
            <w:r w:rsidRPr="00F922EA">
              <w:rPr>
                <w:rFonts w:ascii="Myriad Pro" w:hAnsi="Myriad Pro"/>
                <w:sz w:val="18"/>
                <w:szCs w:val="18"/>
                <w:lang w:val="en-GB"/>
              </w:rPr>
              <w:t xml:space="preserve">Immunological Veterinary Medicinal Products: Form </w:t>
            </w:r>
            <w:r w:rsidR="0056268F" w:rsidRPr="00F922EA">
              <w:rPr>
                <w:rFonts w:ascii="Myriad Pro" w:hAnsi="Myriad Pro"/>
                <w:sz w:val="18"/>
                <w:szCs w:val="18"/>
                <w:lang w:val="en-GB"/>
              </w:rPr>
              <w:t xml:space="preserve">for </w:t>
            </w:r>
            <w:r w:rsidRPr="00F922EA">
              <w:rPr>
                <w:rFonts w:ascii="Myriad Pro" w:hAnsi="Myriad Pro"/>
                <w:sz w:val="18"/>
                <w:szCs w:val="18"/>
                <w:lang w:val="en-GB"/>
              </w:rPr>
              <w:t xml:space="preserve">Notice </w:t>
            </w:r>
            <w:r w:rsidR="0056268F" w:rsidRPr="00F922EA">
              <w:rPr>
                <w:rFonts w:ascii="Myriad Pro" w:hAnsi="Myriad Pro"/>
                <w:sz w:val="18"/>
                <w:szCs w:val="18"/>
                <w:lang w:val="en-GB"/>
              </w:rPr>
              <w:t xml:space="preserve">of </w:t>
            </w:r>
            <w:r w:rsidRPr="00F922EA">
              <w:rPr>
                <w:rFonts w:ascii="Myriad Pro" w:hAnsi="Myriad Pro"/>
                <w:sz w:val="18"/>
                <w:szCs w:val="18"/>
                <w:lang w:val="en-GB"/>
              </w:rPr>
              <w:t>Failure/ Non-Compliance</w:t>
            </w:r>
          </w:p>
        </w:tc>
        <w:tc>
          <w:tcPr>
            <w:tcW w:w="611" w:type="pct"/>
            <w:shd w:val="clear" w:color="auto" w:fill="auto"/>
          </w:tcPr>
          <w:p w14:paraId="0BC76B71"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bCs/>
                <w:color w:val="000000"/>
                <w:sz w:val="18"/>
                <w:szCs w:val="18"/>
              </w:rPr>
              <w:t xml:space="preserve">Annex IIIa </w:t>
            </w:r>
          </w:p>
        </w:tc>
        <w:tc>
          <w:tcPr>
            <w:tcW w:w="2041" w:type="pct"/>
            <w:shd w:val="clear" w:color="auto" w:fill="auto"/>
          </w:tcPr>
          <w:p w14:paraId="7C7176BC" w14:textId="77777777" w:rsidR="00C0266E" w:rsidRPr="00F922EA" w:rsidRDefault="00C0266E" w:rsidP="00F319D4">
            <w:pPr>
              <w:widowControl w:val="0"/>
              <w:spacing w:before="120" w:after="120"/>
              <w:ind w:right="-2"/>
              <w:rPr>
                <w:rFonts w:ascii="Myriad Pro" w:hAnsi="Myriad Pro"/>
                <w:sz w:val="18"/>
                <w:szCs w:val="18"/>
                <w:lang w:val="en-GB"/>
              </w:rPr>
            </w:pPr>
            <w:r w:rsidRPr="00F922EA">
              <w:rPr>
                <w:rFonts w:ascii="Myriad Pro" w:hAnsi="Myriad Pro"/>
                <w:sz w:val="18"/>
                <w:szCs w:val="18"/>
                <w:lang w:val="en-GB"/>
              </w:rPr>
              <w:t xml:space="preserve">EU/EEA Official Control Authority Batch Release Certificate </w:t>
            </w:r>
            <w:proofErr w:type="gramStart"/>
            <w:r w:rsidRPr="00F922EA">
              <w:rPr>
                <w:rFonts w:ascii="Myriad Pro" w:hAnsi="Myriad Pro"/>
                <w:sz w:val="18"/>
                <w:szCs w:val="18"/>
                <w:lang w:val="en-GB"/>
              </w:rPr>
              <w:t>For</w:t>
            </w:r>
            <w:proofErr w:type="gramEnd"/>
            <w:r w:rsidRPr="00F922EA">
              <w:rPr>
                <w:rFonts w:ascii="Myriad Pro" w:hAnsi="Myriad Pro"/>
                <w:sz w:val="18"/>
                <w:szCs w:val="18"/>
                <w:lang w:val="en-GB"/>
              </w:rPr>
              <w:t xml:space="preserve"> Immunological Veterinary Medicinal Products</w:t>
            </w:r>
          </w:p>
        </w:tc>
      </w:tr>
      <w:tr w:rsidR="00C0266E" w:rsidRPr="00F922EA" w14:paraId="3CDEF6ED" w14:textId="77777777" w:rsidTr="0015150A">
        <w:tc>
          <w:tcPr>
            <w:tcW w:w="593" w:type="pct"/>
            <w:shd w:val="clear" w:color="auto" w:fill="auto"/>
          </w:tcPr>
          <w:p w14:paraId="16B15AC4"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bCs/>
                <w:color w:val="000000"/>
                <w:sz w:val="18"/>
                <w:szCs w:val="18"/>
              </w:rPr>
              <w:t>Annex III</w:t>
            </w:r>
          </w:p>
        </w:tc>
        <w:tc>
          <w:tcPr>
            <w:tcW w:w="1755" w:type="pct"/>
            <w:shd w:val="clear" w:color="auto" w:fill="auto"/>
          </w:tcPr>
          <w:p w14:paraId="2CF3DDC8" w14:textId="77777777" w:rsidR="00C0266E" w:rsidRPr="00F922EA" w:rsidRDefault="00C0266E" w:rsidP="00F319D4">
            <w:pPr>
              <w:pStyle w:val="Header"/>
              <w:widowControl w:val="0"/>
              <w:tabs>
                <w:tab w:val="left" w:pos="-720"/>
                <w:tab w:val="left" w:pos="0"/>
                <w:tab w:val="left" w:pos="720"/>
              </w:tabs>
              <w:spacing w:before="120" w:after="120"/>
              <w:rPr>
                <w:rFonts w:ascii="Myriad Pro" w:hAnsi="Myriad Pro"/>
                <w:caps/>
                <w:sz w:val="18"/>
                <w:szCs w:val="18"/>
                <w:lang w:val="en-GB"/>
              </w:rPr>
            </w:pPr>
            <w:r w:rsidRPr="00F922EA">
              <w:rPr>
                <w:rFonts w:ascii="Myriad Pro" w:hAnsi="Myriad Pro"/>
                <w:caps/>
                <w:sz w:val="18"/>
                <w:szCs w:val="18"/>
                <w:lang w:val="en-GB"/>
              </w:rPr>
              <w:t xml:space="preserve">Model Letter </w:t>
            </w:r>
            <w:r w:rsidRPr="00F922EA">
              <w:rPr>
                <w:rFonts w:ascii="Myriad Pro" w:hAnsi="Myriad Pro"/>
                <w:sz w:val="18"/>
                <w:szCs w:val="18"/>
                <w:lang w:val="en-GB"/>
              </w:rPr>
              <w:t>for Important Information exchange between the official contacts points of the EU VBRN</w:t>
            </w:r>
          </w:p>
        </w:tc>
        <w:tc>
          <w:tcPr>
            <w:tcW w:w="611" w:type="pct"/>
            <w:shd w:val="clear" w:color="auto" w:fill="auto"/>
          </w:tcPr>
          <w:p w14:paraId="22900D90"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bCs/>
                <w:color w:val="000000"/>
                <w:sz w:val="18"/>
                <w:szCs w:val="18"/>
              </w:rPr>
              <w:t xml:space="preserve">Annex </w:t>
            </w:r>
            <w:proofErr w:type="spellStart"/>
            <w:r w:rsidRPr="00F922EA">
              <w:rPr>
                <w:rFonts w:ascii="Myriad Pro" w:hAnsi="Myriad Pro"/>
                <w:bCs/>
                <w:color w:val="000000"/>
                <w:sz w:val="18"/>
                <w:szCs w:val="18"/>
              </w:rPr>
              <w:t>IIIb</w:t>
            </w:r>
            <w:proofErr w:type="spellEnd"/>
          </w:p>
        </w:tc>
        <w:tc>
          <w:tcPr>
            <w:tcW w:w="2041" w:type="pct"/>
            <w:shd w:val="clear" w:color="auto" w:fill="auto"/>
          </w:tcPr>
          <w:p w14:paraId="0B6500DE" w14:textId="77777777" w:rsidR="00C0266E" w:rsidRPr="00F922EA" w:rsidRDefault="00C0266E" w:rsidP="00F319D4">
            <w:pPr>
              <w:widowControl w:val="0"/>
              <w:spacing w:before="120" w:after="120"/>
              <w:ind w:right="-2"/>
              <w:rPr>
                <w:rFonts w:ascii="Myriad Pro" w:hAnsi="Myriad Pro"/>
                <w:sz w:val="18"/>
                <w:szCs w:val="18"/>
                <w:lang w:val="en-GB"/>
              </w:rPr>
            </w:pPr>
            <w:r w:rsidRPr="00F922EA">
              <w:rPr>
                <w:rFonts w:ascii="Myriad Pro" w:hAnsi="Myriad Pro"/>
                <w:sz w:val="18"/>
                <w:szCs w:val="18"/>
                <w:lang w:val="en-GB"/>
              </w:rPr>
              <w:t xml:space="preserve">EU/EEA Official Control Authority Batch Release </w:t>
            </w:r>
            <w:proofErr w:type="gramStart"/>
            <w:r w:rsidRPr="00F922EA">
              <w:rPr>
                <w:rFonts w:ascii="Myriad Pro" w:hAnsi="Myriad Pro"/>
                <w:sz w:val="18"/>
                <w:szCs w:val="18"/>
                <w:lang w:val="en-GB"/>
              </w:rPr>
              <w:t>For</w:t>
            </w:r>
            <w:proofErr w:type="gramEnd"/>
            <w:r w:rsidRPr="00F922EA">
              <w:rPr>
                <w:rFonts w:ascii="Myriad Pro" w:hAnsi="Myriad Pro"/>
                <w:sz w:val="18"/>
                <w:szCs w:val="18"/>
                <w:lang w:val="en-GB"/>
              </w:rPr>
              <w:t xml:space="preserve"> Immunological Veterinary Medicinal Products: Form </w:t>
            </w:r>
            <w:proofErr w:type="gramStart"/>
            <w:r w:rsidRPr="00F922EA">
              <w:rPr>
                <w:rFonts w:ascii="Myriad Pro" w:hAnsi="Myriad Pro"/>
                <w:sz w:val="18"/>
                <w:szCs w:val="18"/>
                <w:lang w:val="en-GB"/>
              </w:rPr>
              <w:t>For</w:t>
            </w:r>
            <w:proofErr w:type="gramEnd"/>
            <w:r w:rsidRPr="00F922EA">
              <w:rPr>
                <w:rFonts w:ascii="Myriad Pro" w:hAnsi="Myriad Pro"/>
                <w:sz w:val="18"/>
                <w:szCs w:val="18"/>
                <w:lang w:val="en-GB"/>
              </w:rPr>
              <w:t xml:space="preserve"> Notice </w:t>
            </w:r>
            <w:proofErr w:type="gramStart"/>
            <w:r w:rsidRPr="00F922EA">
              <w:rPr>
                <w:rFonts w:ascii="Myriad Pro" w:hAnsi="Myriad Pro"/>
                <w:sz w:val="18"/>
                <w:szCs w:val="18"/>
                <w:lang w:val="en-GB"/>
              </w:rPr>
              <w:t>Of</w:t>
            </w:r>
            <w:proofErr w:type="gramEnd"/>
            <w:r w:rsidRPr="00F922EA">
              <w:rPr>
                <w:rFonts w:ascii="Myriad Pro" w:hAnsi="Myriad Pro"/>
                <w:sz w:val="18"/>
                <w:szCs w:val="18"/>
                <w:lang w:val="en-GB"/>
              </w:rPr>
              <w:t xml:space="preserve"> Failure/ Non-Compliance</w:t>
            </w:r>
          </w:p>
        </w:tc>
      </w:tr>
      <w:tr w:rsidR="00C0266E" w:rsidRPr="00F922EA" w14:paraId="355AFC21" w14:textId="77777777" w:rsidTr="0015150A">
        <w:tc>
          <w:tcPr>
            <w:tcW w:w="593" w:type="pct"/>
            <w:shd w:val="clear" w:color="auto" w:fill="auto"/>
          </w:tcPr>
          <w:p w14:paraId="50B3B75E"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bCs/>
                <w:color w:val="000000"/>
                <w:sz w:val="18"/>
                <w:szCs w:val="18"/>
              </w:rPr>
              <w:t>Annex IV*</w:t>
            </w:r>
          </w:p>
        </w:tc>
        <w:tc>
          <w:tcPr>
            <w:tcW w:w="1755" w:type="pct"/>
            <w:shd w:val="clear" w:color="auto" w:fill="auto"/>
          </w:tcPr>
          <w:p w14:paraId="198E5FC0"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sz w:val="18"/>
                <w:szCs w:val="18"/>
              </w:rPr>
              <w:t>The current list of official contact points for the EU VBRN</w:t>
            </w:r>
          </w:p>
        </w:tc>
        <w:tc>
          <w:tcPr>
            <w:tcW w:w="611" w:type="pct"/>
            <w:shd w:val="clear" w:color="auto" w:fill="auto"/>
          </w:tcPr>
          <w:p w14:paraId="05FC10FC"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bCs/>
                <w:color w:val="000000"/>
                <w:sz w:val="18"/>
                <w:szCs w:val="18"/>
              </w:rPr>
              <w:t>Annex IV*</w:t>
            </w:r>
          </w:p>
        </w:tc>
        <w:tc>
          <w:tcPr>
            <w:tcW w:w="2041" w:type="pct"/>
            <w:shd w:val="clear" w:color="auto" w:fill="auto"/>
          </w:tcPr>
          <w:p w14:paraId="32244AEC"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sz w:val="18"/>
                <w:szCs w:val="18"/>
              </w:rPr>
              <w:t xml:space="preserve">The current list of official contact points for the EU </w:t>
            </w:r>
            <w:r w:rsidR="00EE3245" w:rsidRPr="00F922EA">
              <w:rPr>
                <w:rFonts w:ascii="Myriad Pro" w:hAnsi="Myriad Pro"/>
                <w:sz w:val="18"/>
                <w:szCs w:val="18"/>
              </w:rPr>
              <w:t>VBRN</w:t>
            </w:r>
          </w:p>
        </w:tc>
      </w:tr>
      <w:tr w:rsidR="00C0266E" w:rsidRPr="00F922EA" w14:paraId="6DF3B4B1" w14:textId="77777777" w:rsidTr="0015150A">
        <w:tc>
          <w:tcPr>
            <w:tcW w:w="2348" w:type="pct"/>
            <w:gridSpan w:val="2"/>
            <w:shd w:val="clear" w:color="auto" w:fill="F2F2F2"/>
          </w:tcPr>
          <w:p w14:paraId="7E8740E5" w14:textId="77777777" w:rsidR="00C0266E" w:rsidRPr="00F922EA" w:rsidRDefault="00C0266E" w:rsidP="00F319D4">
            <w:pPr>
              <w:pStyle w:val="BodyText"/>
              <w:spacing w:after="120"/>
              <w:rPr>
                <w:rFonts w:ascii="Myriad Pro" w:hAnsi="Myriad Pro"/>
                <w:bCs/>
                <w:color w:val="000000"/>
                <w:sz w:val="18"/>
                <w:szCs w:val="18"/>
              </w:rPr>
            </w:pPr>
          </w:p>
        </w:tc>
        <w:tc>
          <w:tcPr>
            <w:tcW w:w="611" w:type="pct"/>
            <w:shd w:val="clear" w:color="auto" w:fill="auto"/>
          </w:tcPr>
          <w:p w14:paraId="25D19943" w14:textId="77777777" w:rsidR="00C0266E" w:rsidRPr="00F922EA" w:rsidRDefault="00C0266E" w:rsidP="00F319D4">
            <w:pPr>
              <w:pStyle w:val="BodyText"/>
              <w:spacing w:after="120"/>
              <w:rPr>
                <w:rFonts w:ascii="Myriad Pro" w:hAnsi="Myriad Pro"/>
                <w:bCs/>
                <w:color w:val="000000"/>
                <w:sz w:val="18"/>
                <w:szCs w:val="18"/>
              </w:rPr>
            </w:pPr>
            <w:r w:rsidRPr="00F922EA">
              <w:rPr>
                <w:rFonts w:ascii="Myriad Pro" w:hAnsi="Myriad Pro"/>
                <w:bCs/>
                <w:color w:val="000000"/>
                <w:sz w:val="18"/>
                <w:szCs w:val="18"/>
              </w:rPr>
              <w:t>Annex V</w:t>
            </w:r>
          </w:p>
        </w:tc>
        <w:tc>
          <w:tcPr>
            <w:tcW w:w="2041" w:type="pct"/>
            <w:shd w:val="clear" w:color="auto" w:fill="auto"/>
          </w:tcPr>
          <w:p w14:paraId="74F173C8" w14:textId="77777777" w:rsidR="00C0266E" w:rsidRPr="00F922EA" w:rsidRDefault="00C0266E" w:rsidP="00F319D4">
            <w:pPr>
              <w:pStyle w:val="Header"/>
              <w:widowControl w:val="0"/>
              <w:tabs>
                <w:tab w:val="left" w:pos="-720"/>
                <w:tab w:val="left" w:pos="0"/>
                <w:tab w:val="left" w:pos="720"/>
              </w:tabs>
              <w:spacing w:before="120" w:after="120"/>
              <w:rPr>
                <w:rFonts w:ascii="Myriad Pro" w:hAnsi="Myriad Pro"/>
                <w:caps/>
                <w:sz w:val="18"/>
                <w:szCs w:val="18"/>
                <w:lang w:val="en-GB"/>
              </w:rPr>
            </w:pPr>
            <w:r w:rsidRPr="00F922EA">
              <w:rPr>
                <w:rFonts w:ascii="Myriad Pro" w:hAnsi="Myriad Pro"/>
                <w:caps/>
                <w:sz w:val="18"/>
                <w:szCs w:val="18"/>
                <w:lang w:val="en-GB"/>
              </w:rPr>
              <w:t>Model Letter</w:t>
            </w:r>
            <w:r w:rsidRPr="00F922EA">
              <w:rPr>
                <w:rFonts w:ascii="Myriad Pro" w:hAnsi="Myriad Pro"/>
                <w:sz w:val="18"/>
                <w:szCs w:val="18"/>
                <w:lang w:val="en-GB"/>
              </w:rPr>
              <w:t xml:space="preserve"> for Important Information exchange between the official contacts points of the EU Veterinary Batch Release Network (VBRN) </w:t>
            </w:r>
          </w:p>
        </w:tc>
      </w:tr>
    </w:tbl>
    <w:p w14:paraId="3967E004" w14:textId="77777777" w:rsidR="00C0266E" w:rsidRPr="00F922EA" w:rsidRDefault="00C0266E" w:rsidP="00C0266E">
      <w:pPr>
        <w:spacing w:before="120"/>
        <w:jc w:val="both"/>
        <w:rPr>
          <w:rFonts w:ascii="Myriad Pro" w:hAnsi="Myriad Pro"/>
          <w:lang w:val="en-GB"/>
        </w:rPr>
      </w:pPr>
    </w:p>
    <w:p w14:paraId="6109BAB7" w14:textId="35970B7E" w:rsidR="00C0266E" w:rsidRPr="00F922EA" w:rsidRDefault="00C0266E" w:rsidP="00C0266E">
      <w:pPr>
        <w:spacing w:before="120"/>
        <w:jc w:val="both"/>
        <w:rPr>
          <w:rFonts w:ascii="Myriad Pro" w:hAnsi="Myriad Pro"/>
          <w:lang w:val="en-GB"/>
        </w:rPr>
      </w:pPr>
      <w:r w:rsidRPr="00F922EA">
        <w:rPr>
          <w:rFonts w:ascii="Myriad Pro" w:hAnsi="Myriad Pro"/>
          <w:lang w:val="en-GB"/>
        </w:rPr>
        <w:t>*Users are reminded that Annex IV, the list of official VBRN contact</w:t>
      </w:r>
      <w:r w:rsidR="00EE3245" w:rsidRPr="00F922EA">
        <w:rPr>
          <w:rFonts w:ascii="Myriad Pro" w:hAnsi="Myriad Pro"/>
          <w:lang w:val="en-GB"/>
        </w:rPr>
        <w:t xml:space="preserve"> points</w:t>
      </w:r>
      <w:r w:rsidRPr="00F922EA">
        <w:rPr>
          <w:rFonts w:ascii="Myriad Pro" w:hAnsi="Myriad Pro"/>
          <w:lang w:val="en-GB"/>
        </w:rPr>
        <w:t xml:space="preserve">, is updated as soon as changes in contact details are made known to </w:t>
      </w:r>
      <w:r w:rsidR="0048643A" w:rsidRPr="00F922EA">
        <w:rPr>
          <w:rFonts w:ascii="Myriad Pro" w:hAnsi="Myriad Pro"/>
          <w:lang w:val="en-GB"/>
        </w:rPr>
        <w:t xml:space="preserve">the </w:t>
      </w:r>
      <w:r w:rsidRPr="00F922EA">
        <w:rPr>
          <w:rFonts w:ascii="Myriad Pro" w:hAnsi="Myriad Pro"/>
          <w:lang w:val="en-GB"/>
        </w:rPr>
        <w:t>EDQM. The most recent contact details for the network of EU/EEA and MRA partners are found separately on the EDQM website</w:t>
      </w:r>
      <w:r w:rsidR="00F319D4">
        <w:rPr>
          <w:rFonts w:ascii="Myriad Pro" w:hAnsi="Myriad Pro"/>
          <w:lang w:val="en-GB"/>
        </w:rPr>
        <w:t xml:space="preserve"> </w:t>
      </w:r>
      <w:r w:rsidRPr="00F922EA">
        <w:rPr>
          <w:rFonts w:ascii="Myriad Pro" w:hAnsi="Myriad Pro"/>
          <w:lang w:val="en-GB"/>
        </w:rPr>
        <w:t>(</w:t>
      </w:r>
      <w:hyperlink r:id="rId8" w:history="1">
        <w:r w:rsidR="00222F85" w:rsidRPr="008F24E0">
          <w:rPr>
            <w:rStyle w:val="Hyperlink"/>
            <w:rFonts w:ascii="Myriad Pro" w:hAnsi="Myriad Pro"/>
            <w:lang w:val="en-GB"/>
          </w:rPr>
          <w:t>https://www.edqm.eu/en/veterinary-biologicals-ocabr/obpr</w:t>
        </w:r>
      </w:hyperlink>
      <w:r w:rsidRPr="00F922EA">
        <w:rPr>
          <w:rFonts w:ascii="Myriad Pro" w:hAnsi="Myriad Pro"/>
          <w:lang w:val="en-GB"/>
        </w:rPr>
        <w:t xml:space="preserve">). </w:t>
      </w:r>
      <w:r w:rsidR="0048643A" w:rsidRPr="00F922EA">
        <w:rPr>
          <w:rFonts w:ascii="Myriad Pro" w:hAnsi="Myriad Pro"/>
          <w:lang w:val="en-GB"/>
        </w:rPr>
        <w:t>Users are</w:t>
      </w:r>
      <w:r w:rsidRPr="00F922EA">
        <w:rPr>
          <w:rFonts w:ascii="Myriad Pro" w:hAnsi="Myriad Pro"/>
          <w:lang w:val="en-GB"/>
        </w:rPr>
        <w:t xml:space="preserve"> advised to check the update status </w:t>
      </w:r>
      <w:r w:rsidR="005C69B9" w:rsidRPr="00F922EA">
        <w:rPr>
          <w:rFonts w:ascii="Myriad Pro" w:hAnsi="Myriad Pro"/>
          <w:lang w:val="en-GB"/>
        </w:rPr>
        <w:t xml:space="preserve">regularly </w:t>
      </w:r>
      <w:r w:rsidRPr="00F922EA">
        <w:rPr>
          <w:rFonts w:ascii="Myriad Pro" w:hAnsi="Myriad Pro"/>
          <w:lang w:val="en-GB"/>
        </w:rPr>
        <w:t xml:space="preserve">to ensure that </w:t>
      </w:r>
      <w:r w:rsidR="0048643A" w:rsidRPr="00F922EA">
        <w:rPr>
          <w:rFonts w:ascii="Myriad Pro" w:hAnsi="Myriad Pro"/>
          <w:lang w:val="en-GB"/>
        </w:rPr>
        <w:t xml:space="preserve">they </w:t>
      </w:r>
      <w:r w:rsidRPr="00F922EA">
        <w:rPr>
          <w:rFonts w:ascii="Myriad Pro" w:hAnsi="Myriad Pro"/>
          <w:lang w:val="en-GB"/>
        </w:rPr>
        <w:t xml:space="preserve">have the most recent contact details. </w:t>
      </w:r>
    </w:p>
    <w:p w14:paraId="4D4CE056" w14:textId="77777777" w:rsidR="00C0266E" w:rsidRPr="00F922EA" w:rsidRDefault="00C0266E" w:rsidP="00F319D4">
      <w:pPr>
        <w:pStyle w:val="BodyText"/>
        <w:spacing w:before="240" w:after="120"/>
        <w:rPr>
          <w:rFonts w:ascii="Myriad Pro" w:hAnsi="Myriad Pro"/>
        </w:rPr>
      </w:pPr>
      <w:r w:rsidRPr="00F922EA">
        <w:rPr>
          <w:rFonts w:ascii="Myriad Pro" w:hAnsi="Myriad Pro"/>
          <w:b/>
        </w:rPr>
        <w:t>Marketing Information Form</w:t>
      </w:r>
    </w:p>
    <w:p w14:paraId="194725A0" w14:textId="77777777" w:rsidR="00C0266E" w:rsidRPr="00F922EA" w:rsidRDefault="00C0266E" w:rsidP="00C0266E">
      <w:pPr>
        <w:pStyle w:val="BodyText"/>
        <w:rPr>
          <w:rFonts w:ascii="Myriad Pro" w:hAnsi="Myriad Pro"/>
        </w:rPr>
      </w:pPr>
      <w:r w:rsidRPr="00F922EA">
        <w:rPr>
          <w:rFonts w:ascii="Myriad Pro" w:hAnsi="Myriad Pro"/>
        </w:rPr>
        <w:t xml:space="preserve">The form facilitates recognition of certificates throughout the EU and should be completed by the MAH and provided to the CA/OMCL when submitting an OCABR or OBPR certificate. </w:t>
      </w:r>
    </w:p>
    <w:p w14:paraId="597B318E" w14:textId="77777777" w:rsidR="00C0266E" w:rsidRPr="00F922EA" w:rsidRDefault="00C0266E" w:rsidP="00F319D4">
      <w:pPr>
        <w:pStyle w:val="BodyText"/>
        <w:spacing w:before="240" w:after="120"/>
        <w:rPr>
          <w:rFonts w:ascii="Myriad Pro" w:hAnsi="Myriad Pro"/>
          <w:b/>
        </w:rPr>
      </w:pPr>
      <w:r w:rsidRPr="00F922EA">
        <w:rPr>
          <w:rFonts w:ascii="Myriad Pro" w:hAnsi="Myriad Pro"/>
          <w:b/>
        </w:rPr>
        <w:t xml:space="preserve">Manufacturer’s protocol for submission of an IVMP to a Competent Authority for OBPR/OCABR </w:t>
      </w:r>
    </w:p>
    <w:p w14:paraId="66290AE5" w14:textId="77777777" w:rsidR="00C0266E" w:rsidRPr="00F922EA" w:rsidRDefault="00C0266E" w:rsidP="00C0266E">
      <w:pPr>
        <w:spacing w:before="120"/>
        <w:jc w:val="both"/>
        <w:rPr>
          <w:rFonts w:ascii="Myriad Pro" w:hAnsi="Myriad Pro"/>
          <w:lang w:val="en-GB"/>
        </w:rPr>
      </w:pPr>
      <w:r w:rsidRPr="00F922EA">
        <w:rPr>
          <w:rFonts w:ascii="Myriad Pro" w:hAnsi="Myriad Pro"/>
          <w:lang w:val="en-GB"/>
        </w:rPr>
        <w:t xml:space="preserve">The </w:t>
      </w:r>
      <w:r w:rsidR="00581310" w:rsidRPr="00F922EA">
        <w:rPr>
          <w:rFonts w:ascii="Myriad Pro" w:hAnsi="Myriad Pro"/>
          <w:lang w:val="en-GB"/>
        </w:rPr>
        <w:t xml:space="preserve">model protocol </w:t>
      </w:r>
      <w:r w:rsidRPr="00F922EA">
        <w:rPr>
          <w:rFonts w:ascii="Myriad Pro" w:hAnsi="Myriad Pro"/>
          <w:lang w:val="en-GB"/>
        </w:rPr>
        <w:t xml:space="preserve">templates are provided for use by manufacturers. They have been developed to harmonise the presentation of relevant information by the MAH when submitting batches for OBPR or OCABR. They should be used whenever application of either of these procedures is requested by a Competent Authority. They have been developed for </w:t>
      </w:r>
      <w:r w:rsidR="00B57885" w:rsidRPr="00F922EA">
        <w:rPr>
          <w:rFonts w:ascii="Myriad Pro" w:hAnsi="Myriad Pro"/>
          <w:lang w:val="en-GB"/>
        </w:rPr>
        <w:t xml:space="preserve">five </w:t>
      </w:r>
      <w:r w:rsidRPr="00F922EA">
        <w:rPr>
          <w:rFonts w:ascii="Myriad Pro" w:hAnsi="Myriad Pro"/>
          <w:lang w:val="en-GB"/>
        </w:rPr>
        <w:t>general product types and should be considered as models only. An attempt has been made to list all appropriate production steps and controls as required by the M</w:t>
      </w:r>
      <w:r w:rsidR="00B57885" w:rsidRPr="00F922EA">
        <w:rPr>
          <w:rFonts w:ascii="Myriad Pro" w:hAnsi="Myriad Pro"/>
          <w:lang w:val="en-GB"/>
        </w:rPr>
        <w:t>A</w:t>
      </w:r>
      <w:r w:rsidRPr="00F922EA">
        <w:rPr>
          <w:rFonts w:ascii="Myriad Pro" w:hAnsi="Myriad Pro"/>
          <w:lang w:val="en-GB"/>
        </w:rPr>
        <w:t xml:space="preserve"> and the relevant monograph(s) of the Ph. Eur. It is possible however that a protocol for a specific product may differ in detail from the model provided. The essential point is that all relevant details demonstrating compliance with the M</w:t>
      </w:r>
      <w:r w:rsidR="00B57885" w:rsidRPr="00F922EA">
        <w:rPr>
          <w:rFonts w:ascii="Myriad Pro" w:hAnsi="Myriad Pro"/>
          <w:lang w:val="en-GB"/>
        </w:rPr>
        <w:t>A</w:t>
      </w:r>
      <w:r w:rsidRPr="00F922EA">
        <w:rPr>
          <w:rFonts w:ascii="Myriad Pro" w:hAnsi="Myriad Pro"/>
          <w:lang w:val="en-GB"/>
        </w:rPr>
        <w:t xml:space="preserve"> and the Ph. Eur. monograph(s) (where </w:t>
      </w:r>
      <w:r w:rsidR="00581310" w:rsidRPr="00F922EA">
        <w:rPr>
          <w:rFonts w:ascii="Myriad Pro" w:hAnsi="Myriad Pro"/>
          <w:lang w:val="en-GB"/>
        </w:rPr>
        <w:t xml:space="preserve">they </w:t>
      </w:r>
      <w:r w:rsidRPr="00F922EA">
        <w:rPr>
          <w:rFonts w:ascii="Myriad Pro" w:hAnsi="Myriad Pro"/>
          <w:lang w:val="en-GB"/>
        </w:rPr>
        <w:t xml:space="preserve">exist) for a particular product should be given in the protocol submitted by the manufacturer. This is explained clearly in the introduction of </w:t>
      </w:r>
      <w:r w:rsidR="00581310" w:rsidRPr="00F922EA">
        <w:rPr>
          <w:rFonts w:ascii="Myriad Pro" w:hAnsi="Myriad Pro"/>
          <w:lang w:val="en-GB"/>
        </w:rPr>
        <w:t xml:space="preserve">each </w:t>
      </w:r>
      <w:r w:rsidRPr="00F922EA">
        <w:rPr>
          <w:rFonts w:ascii="Myriad Pro" w:hAnsi="Myriad Pro"/>
          <w:lang w:val="en-GB"/>
        </w:rPr>
        <w:t>guideline.</w:t>
      </w:r>
    </w:p>
    <w:p w14:paraId="4F93EC20" w14:textId="77777777" w:rsidR="00C0266E" w:rsidRPr="00F922EA" w:rsidRDefault="00C0266E" w:rsidP="00F319D4">
      <w:pPr>
        <w:pStyle w:val="Heading1"/>
        <w:spacing w:before="240" w:after="120"/>
        <w:rPr>
          <w:rFonts w:ascii="Myriad Pro" w:hAnsi="Myriad Pro"/>
          <w:b w:val="0"/>
          <w:lang w:val="en-GB"/>
        </w:rPr>
      </w:pPr>
      <w:r w:rsidRPr="00F922EA">
        <w:rPr>
          <w:rFonts w:ascii="Myriad Pro" w:hAnsi="Myriad Pro"/>
          <w:b w:val="0"/>
          <w:lang w:val="en-GB"/>
        </w:rPr>
        <w:t>Product</w:t>
      </w:r>
      <w:r w:rsidR="00AF3080" w:rsidRPr="00F922EA">
        <w:rPr>
          <w:rFonts w:ascii="Myriad Pro" w:hAnsi="Myriad Pro"/>
          <w:b w:val="0"/>
          <w:lang w:val="en-GB"/>
        </w:rPr>
        <w:t>-</w:t>
      </w:r>
      <w:r w:rsidRPr="00F922EA">
        <w:rPr>
          <w:rFonts w:ascii="Myriad Pro" w:hAnsi="Myriad Pro"/>
          <w:b w:val="0"/>
          <w:lang w:val="en-GB"/>
        </w:rPr>
        <w:t>Specific Guidelines</w:t>
      </w:r>
    </w:p>
    <w:p w14:paraId="78D667E8" w14:textId="42C44F06" w:rsidR="00F319D4" w:rsidRDefault="00C0266E" w:rsidP="00F319D4">
      <w:pPr>
        <w:spacing w:before="120" w:after="240"/>
        <w:jc w:val="both"/>
        <w:rPr>
          <w:rFonts w:ascii="Myriad Pro" w:hAnsi="Myriad Pro"/>
          <w:lang w:val="en-GB"/>
        </w:rPr>
      </w:pPr>
      <w:r w:rsidRPr="00F922EA">
        <w:rPr>
          <w:rFonts w:ascii="Myriad Pro" w:hAnsi="Myriad Pro"/>
          <w:lang w:val="en-GB"/>
        </w:rPr>
        <w:t>The product</w:t>
      </w:r>
      <w:r w:rsidR="000A4414" w:rsidRPr="00F922EA">
        <w:rPr>
          <w:rFonts w:ascii="Myriad Pro" w:hAnsi="Myriad Pro"/>
          <w:lang w:val="en-GB"/>
        </w:rPr>
        <w:t>-</w:t>
      </w:r>
      <w:r w:rsidRPr="00F922EA">
        <w:rPr>
          <w:rFonts w:ascii="Myriad Pro" w:hAnsi="Myriad Pro"/>
          <w:lang w:val="en-GB"/>
        </w:rPr>
        <w:t xml:space="preserve">specific guidelines are available for all IVMPs eligible for OCABR using a common restricted testing scheme, </w:t>
      </w:r>
      <w:r w:rsidR="00581310" w:rsidRPr="00F922EA">
        <w:rPr>
          <w:rFonts w:ascii="Myriad Pro" w:hAnsi="Myriad Pro"/>
          <w:lang w:val="en-GB"/>
        </w:rPr>
        <w:t>as permitted under</w:t>
      </w:r>
      <w:r w:rsidRPr="00F922EA">
        <w:rPr>
          <w:rFonts w:ascii="Myriad Pro" w:hAnsi="Myriad Pro"/>
          <w:lang w:val="en-GB"/>
        </w:rPr>
        <w:t xml:space="preserve"> paragraph </w:t>
      </w:r>
      <w:r w:rsidR="00C575F8" w:rsidRPr="00F922EA">
        <w:rPr>
          <w:rFonts w:ascii="Myriad Pro" w:hAnsi="Myriad Pro"/>
          <w:lang w:val="en-GB"/>
        </w:rPr>
        <w:t>6</w:t>
      </w:r>
      <w:r w:rsidRPr="00F922EA">
        <w:rPr>
          <w:rFonts w:ascii="Myriad Pro" w:hAnsi="Myriad Pro"/>
          <w:lang w:val="en-GB"/>
        </w:rPr>
        <w:t xml:space="preserve"> of Article </w:t>
      </w:r>
      <w:r w:rsidR="00C575F8" w:rsidRPr="00F922EA">
        <w:rPr>
          <w:rFonts w:ascii="Myriad Pro" w:hAnsi="Myriad Pro"/>
          <w:lang w:val="en-GB"/>
        </w:rPr>
        <w:t>128</w:t>
      </w:r>
      <w:r w:rsidRPr="00F922EA">
        <w:rPr>
          <w:rFonts w:ascii="Myriad Pro" w:hAnsi="Myriad Pro"/>
          <w:lang w:val="en-GB"/>
        </w:rPr>
        <w:t xml:space="preserve">. The guidelines are to be used by the CA/OMCL when applying OCABR to the given products. They describe the restricted list of tests to be performed by the OMCL as commonly agreed by the </w:t>
      </w:r>
      <w:r w:rsidR="0015150A" w:rsidRPr="00F922EA">
        <w:rPr>
          <w:rFonts w:ascii="Myriad Pro" w:hAnsi="Myriad Pro"/>
          <w:lang w:val="en-GB"/>
        </w:rPr>
        <w:t xml:space="preserve">relevant </w:t>
      </w:r>
      <w:r w:rsidR="00644A5F" w:rsidRPr="00F922EA">
        <w:rPr>
          <w:rFonts w:ascii="Myriad Pro" w:hAnsi="Myriad Pro"/>
          <w:lang w:val="en-GB"/>
        </w:rPr>
        <w:t>member states</w:t>
      </w:r>
      <w:r w:rsidRPr="00F922EA">
        <w:rPr>
          <w:rFonts w:ascii="Myriad Pro" w:hAnsi="Myriad Pro"/>
          <w:lang w:val="en-GB"/>
        </w:rPr>
        <w:t>. They also indicate the samples to be supplied to the OMCL by the MAH for testing.</w:t>
      </w:r>
    </w:p>
    <w:p w14:paraId="00188335" w14:textId="77777777" w:rsidR="00F319D4" w:rsidRDefault="00F319D4">
      <w:pPr>
        <w:rPr>
          <w:rFonts w:ascii="Myriad Pro" w:hAnsi="Myriad Pro"/>
          <w:lang w:val="en-GB"/>
        </w:rPr>
      </w:pPr>
      <w:r>
        <w:rPr>
          <w:rFonts w:ascii="Myriad Pro" w:hAnsi="Myriad Pro"/>
          <w:lang w:val="en-GB"/>
        </w:rPr>
        <w:br w:type="page"/>
      </w:r>
    </w:p>
    <w:p w14:paraId="545D18C8" w14:textId="77777777" w:rsidR="00C0266E" w:rsidRPr="00F922EA" w:rsidRDefault="00C0266E" w:rsidP="00C0266E">
      <w:pPr>
        <w:spacing w:before="120"/>
        <w:jc w:val="both"/>
        <w:rPr>
          <w:rFonts w:ascii="Myriad Pro" w:hAnsi="Myriad Pro"/>
          <w:b/>
          <w:lang w:val="en-GB"/>
        </w:rPr>
      </w:pPr>
      <w:r w:rsidRPr="00F922EA">
        <w:rPr>
          <w:rFonts w:ascii="Myriad Pro" w:hAnsi="Myriad Pro"/>
          <w:b/>
          <w:lang w:val="en-GB"/>
        </w:rPr>
        <w:lastRenderedPageBreak/>
        <w:t>Decision Flowchart</w:t>
      </w:r>
    </w:p>
    <w:p w14:paraId="128C80E8" w14:textId="32CD2B00" w:rsidR="00C0266E" w:rsidRPr="00F922EA" w:rsidRDefault="00C0266E" w:rsidP="00C0266E">
      <w:pPr>
        <w:spacing w:before="120"/>
        <w:jc w:val="both"/>
        <w:rPr>
          <w:rFonts w:ascii="Myriad Pro" w:hAnsi="Myriad Pro"/>
          <w:lang w:val="en-GB"/>
        </w:rPr>
      </w:pPr>
      <w:r w:rsidRPr="00F922EA">
        <w:rPr>
          <w:rFonts w:ascii="Myriad Pro" w:hAnsi="Myriad Pro"/>
          <w:lang w:val="en-GB"/>
        </w:rPr>
        <w:t xml:space="preserve">A flowchart has been devised as a tool to summarise briefly the decision process to be followed by a Competent Authority with respect to the control of IVMPs. It situates the correct use of the procedures for </w:t>
      </w:r>
      <w:r w:rsidR="00C575F8" w:rsidRPr="00F922EA">
        <w:rPr>
          <w:rFonts w:ascii="Myriad Pro" w:hAnsi="Myriad Pro"/>
          <w:lang w:val="en-GB"/>
        </w:rPr>
        <w:t>OBPR</w:t>
      </w:r>
      <w:r w:rsidRPr="00F922EA">
        <w:rPr>
          <w:rFonts w:ascii="Myriad Pro" w:hAnsi="Myriad Pro"/>
          <w:lang w:val="en-GB"/>
        </w:rPr>
        <w:t xml:space="preserve"> and </w:t>
      </w:r>
      <w:r w:rsidR="00C575F8" w:rsidRPr="00F922EA">
        <w:rPr>
          <w:rFonts w:ascii="Myriad Pro" w:hAnsi="Myriad Pro"/>
          <w:lang w:val="en-GB"/>
        </w:rPr>
        <w:t>OCABR</w:t>
      </w:r>
      <w:r w:rsidRPr="00F922EA">
        <w:rPr>
          <w:rFonts w:ascii="Myriad Pro" w:hAnsi="Myriad Pro"/>
          <w:lang w:val="en-GB"/>
        </w:rPr>
        <w:t>, emphasises the need for risk</w:t>
      </w:r>
      <w:r w:rsidR="00627291" w:rsidRPr="00F922EA">
        <w:rPr>
          <w:rFonts w:ascii="Myriad Pro" w:hAnsi="Myriad Pro"/>
          <w:lang w:val="en-GB"/>
        </w:rPr>
        <w:t>-</w:t>
      </w:r>
      <w:r w:rsidRPr="00F922EA">
        <w:rPr>
          <w:rFonts w:ascii="Myriad Pro" w:hAnsi="Myriad Pro"/>
          <w:lang w:val="en-GB"/>
        </w:rPr>
        <w:t xml:space="preserve">based analysis, </w:t>
      </w:r>
      <w:r w:rsidR="009E3997" w:rsidRPr="00F922EA">
        <w:rPr>
          <w:rFonts w:ascii="Myriad Pro" w:hAnsi="Myriad Pro"/>
          <w:lang w:val="en-GB"/>
        </w:rPr>
        <w:t xml:space="preserve">notes </w:t>
      </w:r>
      <w:r w:rsidRPr="00F922EA">
        <w:rPr>
          <w:rFonts w:ascii="Myriad Pro" w:hAnsi="Myriad Pro"/>
          <w:lang w:val="en-GB"/>
        </w:rPr>
        <w:t>the potential special situations and exceptions</w:t>
      </w:r>
      <w:r w:rsidR="00AC6900" w:rsidRPr="00F922EA">
        <w:rPr>
          <w:rFonts w:ascii="Myriad Pro" w:hAnsi="Myriad Pro"/>
          <w:lang w:val="en-GB"/>
        </w:rPr>
        <w:t xml:space="preserve"> and suggests the proportion of IVMPs expected to be covered by each approach</w:t>
      </w:r>
      <w:r w:rsidRPr="00F922EA">
        <w:rPr>
          <w:rFonts w:ascii="Myriad Pro" w:hAnsi="Myriad Pro"/>
          <w:lang w:val="en-GB"/>
        </w:rPr>
        <w:t>. The Decision Flowchart can be found at</w:t>
      </w:r>
      <w:r w:rsidR="00222F85">
        <w:rPr>
          <w:rFonts w:ascii="Myriad Pro" w:hAnsi="Myriad Pro"/>
          <w:lang w:val="en-GB"/>
        </w:rPr>
        <w:t xml:space="preserve"> </w:t>
      </w:r>
      <w:hyperlink r:id="rId9" w:history="1">
        <w:r w:rsidR="00222F85">
          <w:rPr>
            <w:rStyle w:val="Hyperlink"/>
            <w:rFonts w:ascii="Myriad Pro" w:hAnsi="Myriad Pro"/>
            <w:lang w:val="en-GB"/>
          </w:rPr>
          <w:t>this link</w:t>
        </w:r>
      </w:hyperlink>
      <w:r w:rsidRPr="00F922EA">
        <w:rPr>
          <w:rFonts w:ascii="Myriad Pro" w:hAnsi="Myriad Pro"/>
          <w:lang w:val="en-GB"/>
        </w:rPr>
        <w:t>.</w:t>
      </w:r>
    </w:p>
    <w:p w14:paraId="333A0C5D" w14:textId="77777777" w:rsidR="00C0266E" w:rsidRPr="00F922EA" w:rsidRDefault="00C0266E" w:rsidP="00F319D4">
      <w:pPr>
        <w:spacing w:before="240" w:after="120"/>
        <w:jc w:val="both"/>
        <w:rPr>
          <w:rFonts w:ascii="Myriad Pro" w:hAnsi="Myriad Pro"/>
          <w:b/>
          <w:lang w:val="en-GB"/>
        </w:rPr>
      </w:pPr>
      <w:r w:rsidRPr="00F922EA">
        <w:rPr>
          <w:rFonts w:ascii="Myriad Pro" w:hAnsi="Myriad Pro"/>
          <w:b/>
          <w:lang w:val="en-GB"/>
        </w:rPr>
        <w:t>List of OMCLs able to provide OCABR certificates</w:t>
      </w:r>
    </w:p>
    <w:p w14:paraId="54F91B95" w14:textId="2D2C4F38" w:rsidR="00C0266E" w:rsidRPr="00F922EA" w:rsidRDefault="00C0266E" w:rsidP="00C0266E">
      <w:pPr>
        <w:spacing w:before="120"/>
        <w:jc w:val="both"/>
        <w:rPr>
          <w:rFonts w:ascii="Myriad Pro" w:hAnsi="Myriad Pro"/>
          <w:lang w:val="en-GB"/>
        </w:rPr>
      </w:pPr>
      <w:r w:rsidRPr="00F922EA">
        <w:rPr>
          <w:rFonts w:ascii="Myriad Pro" w:hAnsi="Myriad Pro"/>
          <w:lang w:val="en-GB"/>
        </w:rPr>
        <w:t xml:space="preserve">A given batch of IVMP should only undergo OCABR testing in one </w:t>
      </w:r>
      <w:r w:rsidR="00FC40C4" w:rsidRPr="00F922EA">
        <w:rPr>
          <w:rFonts w:ascii="Myriad Pro" w:hAnsi="Myriad Pro"/>
          <w:lang w:val="en-GB"/>
        </w:rPr>
        <w:t xml:space="preserve">member state </w:t>
      </w:r>
      <w:r w:rsidRPr="00F922EA">
        <w:rPr>
          <w:rFonts w:ascii="Myriad Pro" w:hAnsi="Myriad Pro"/>
          <w:lang w:val="en-GB"/>
        </w:rPr>
        <w:t xml:space="preserve">and </w:t>
      </w:r>
      <w:proofErr w:type="gramStart"/>
      <w:r w:rsidRPr="00F922EA">
        <w:rPr>
          <w:rFonts w:ascii="Myriad Pro" w:hAnsi="Myriad Pro"/>
          <w:lang w:val="en-GB"/>
        </w:rPr>
        <w:t>all of</w:t>
      </w:r>
      <w:proofErr w:type="gramEnd"/>
      <w:r w:rsidRPr="00F922EA">
        <w:rPr>
          <w:rFonts w:ascii="Myriad Pro" w:hAnsi="Myriad Pro"/>
          <w:lang w:val="en-GB"/>
        </w:rPr>
        <w:t xml:space="preserve"> the others </w:t>
      </w:r>
      <w:r w:rsidR="00FC40C4" w:rsidRPr="00F922EA">
        <w:rPr>
          <w:rFonts w:ascii="Myriad Pro" w:hAnsi="Myriad Pro"/>
          <w:lang w:val="en-GB"/>
        </w:rPr>
        <w:t xml:space="preserve">shall </w:t>
      </w:r>
      <w:r w:rsidRPr="00F922EA">
        <w:rPr>
          <w:rFonts w:ascii="Myriad Pro" w:hAnsi="Myriad Pro"/>
          <w:lang w:val="en-GB"/>
        </w:rPr>
        <w:t xml:space="preserve">recognise the test results. An EU OCABR certificate obtained in one </w:t>
      </w:r>
      <w:r w:rsidR="00FC40C4" w:rsidRPr="00F922EA">
        <w:rPr>
          <w:rFonts w:ascii="Myriad Pro" w:hAnsi="Myriad Pro"/>
          <w:lang w:val="en-GB"/>
        </w:rPr>
        <w:t xml:space="preserve">member state </w:t>
      </w:r>
      <w:r w:rsidRPr="00F922EA">
        <w:rPr>
          <w:rFonts w:ascii="Myriad Pro" w:hAnsi="Myriad Pro"/>
          <w:lang w:val="en-GB"/>
        </w:rPr>
        <w:t xml:space="preserve">can be used to apply for batch release in any other </w:t>
      </w:r>
      <w:r w:rsidR="00FC40C4" w:rsidRPr="00F922EA">
        <w:rPr>
          <w:rFonts w:ascii="Myriad Pro" w:hAnsi="Myriad Pro"/>
          <w:lang w:val="en-GB"/>
        </w:rPr>
        <w:t xml:space="preserve">member state </w:t>
      </w:r>
      <w:r w:rsidRPr="00F922EA">
        <w:rPr>
          <w:rFonts w:ascii="Myriad Pro" w:hAnsi="Myriad Pro"/>
          <w:lang w:val="en-GB"/>
        </w:rPr>
        <w:t xml:space="preserve">requiring OCABR or OBPR. </w:t>
      </w:r>
      <w:r w:rsidR="005C69B9" w:rsidRPr="00F922EA">
        <w:rPr>
          <w:rFonts w:ascii="Myriad Pro" w:hAnsi="Myriad Pro"/>
          <w:lang w:val="en-GB"/>
        </w:rPr>
        <w:t>To help</w:t>
      </w:r>
      <w:r w:rsidRPr="00F922EA">
        <w:rPr>
          <w:rFonts w:ascii="Myriad Pro" w:hAnsi="Myriad Pro"/>
          <w:lang w:val="en-GB"/>
        </w:rPr>
        <w:t xml:space="preserve"> manufacturers</w:t>
      </w:r>
      <w:r w:rsidR="005C69B9" w:rsidRPr="00F922EA">
        <w:rPr>
          <w:rFonts w:ascii="Myriad Pro" w:hAnsi="Myriad Pro"/>
          <w:lang w:val="en-GB"/>
        </w:rPr>
        <w:t>, a list of</w:t>
      </w:r>
      <w:r w:rsidRPr="00F922EA">
        <w:rPr>
          <w:rFonts w:ascii="Myriad Pro" w:hAnsi="Myriad Pro"/>
          <w:lang w:val="en-GB"/>
        </w:rPr>
        <w:t xml:space="preserve"> OMCLs </w:t>
      </w:r>
      <w:r w:rsidR="005C69B9" w:rsidRPr="00F922EA">
        <w:rPr>
          <w:rFonts w:ascii="Myriad Pro" w:hAnsi="Myriad Pro"/>
          <w:lang w:val="en-GB"/>
        </w:rPr>
        <w:t>that can</w:t>
      </w:r>
      <w:r w:rsidRPr="00F922EA">
        <w:rPr>
          <w:rFonts w:ascii="Myriad Pro" w:hAnsi="Myriad Pro"/>
          <w:lang w:val="en-GB"/>
        </w:rPr>
        <w:t xml:space="preserve"> perform OCABR for the different product categories in </w:t>
      </w:r>
      <w:r w:rsidR="00C70F8A" w:rsidRPr="00F922EA">
        <w:rPr>
          <w:rFonts w:ascii="Myriad Pro" w:hAnsi="Myriad Pro"/>
          <w:lang w:val="en-GB"/>
        </w:rPr>
        <w:t>Annex</w:t>
      </w:r>
      <w:r w:rsidRPr="00F922EA">
        <w:rPr>
          <w:rFonts w:ascii="Myriad Pro" w:hAnsi="Myriad Pro"/>
          <w:lang w:val="en-GB"/>
        </w:rPr>
        <w:t xml:space="preserve"> I of the EU Administrative Procedure for application of </w:t>
      </w:r>
      <w:r w:rsidR="00FC40C4" w:rsidRPr="00F922EA">
        <w:rPr>
          <w:rFonts w:ascii="Myriad Pro" w:hAnsi="Myriad Pro"/>
          <w:lang w:val="en-GB"/>
        </w:rPr>
        <w:t xml:space="preserve">OCABR </w:t>
      </w:r>
      <w:r w:rsidR="00CC77FE" w:rsidRPr="00F922EA">
        <w:rPr>
          <w:rFonts w:ascii="Myriad Pro" w:hAnsi="Myriad Pro"/>
          <w:lang w:val="en-GB"/>
        </w:rPr>
        <w:t xml:space="preserve">for IVMPs </w:t>
      </w:r>
      <w:r w:rsidR="00FC40C4" w:rsidRPr="00F922EA">
        <w:rPr>
          <w:rFonts w:ascii="Myriad Pro" w:hAnsi="Myriad Pro"/>
          <w:lang w:val="en-GB"/>
        </w:rPr>
        <w:t>according to Article 128</w:t>
      </w:r>
      <w:r w:rsidR="00CC77FE" w:rsidRPr="00F922EA">
        <w:rPr>
          <w:rFonts w:ascii="Myriad Pro" w:hAnsi="Myriad Pro"/>
          <w:lang w:val="en-GB"/>
        </w:rPr>
        <w:t>,</w:t>
      </w:r>
      <w:r w:rsidR="00FC40C4" w:rsidRPr="00F922EA">
        <w:rPr>
          <w:rFonts w:ascii="Myriad Pro" w:hAnsi="Myriad Pro"/>
          <w:lang w:val="en-GB"/>
        </w:rPr>
        <w:t xml:space="preserve"> </w:t>
      </w:r>
      <w:r w:rsidR="005C69B9" w:rsidRPr="00F922EA">
        <w:rPr>
          <w:rFonts w:ascii="Myriad Pro" w:hAnsi="Myriad Pro"/>
          <w:lang w:val="en-GB"/>
        </w:rPr>
        <w:t>according to the product</w:t>
      </w:r>
      <w:r w:rsidR="000A4414" w:rsidRPr="00F922EA">
        <w:rPr>
          <w:rFonts w:ascii="Myriad Pro" w:hAnsi="Myriad Pro"/>
          <w:lang w:val="en-GB"/>
        </w:rPr>
        <w:t>-</w:t>
      </w:r>
      <w:r w:rsidR="005C69B9" w:rsidRPr="00F922EA">
        <w:rPr>
          <w:rFonts w:ascii="Myriad Pro" w:hAnsi="Myriad Pro"/>
          <w:lang w:val="en-GB"/>
        </w:rPr>
        <w:t>specific guidelines</w:t>
      </w:r>
      <w:r w:rsidRPr="00F922EA">
        <w:rPr>
          <w:rFonts w:ascii="Myriad Pro" w:hAnsi="Myriad Pro"/>
          <w:lang w:val="en-GB"/>
        </w:rPr>
        <w:t xml:space="preserve">, and </w:t>
      </w:r>
      <w:r w:rsidR="00702374" w:rsidRPr="00F922EA">
        <w:rPr>
          <w:rFonts w:ascii="Myriad Pro" w:hAnsi="Myriad Pro"/>
          <w:lang w:val="en-GB"/>
        </w:rPr>
        <w:t xml:space="preserve">that have </w:t>
      </w:r>
      <w:r w:rsidRPr="00F922EA">
        <w:rPr>
          <w:rFonts w:ascii="Myriad Pro" w:hAnsi="Myriad Pro"/>
          <w:lang w:val="en-GB"/>
        </w:rPr>
        <w:t>an externally audited quality system applying the ISO</w:t>
      </w:r>
      <w:r w:rsidR="00627291" w:rsidRPr="00F922EA">
        <w:rPr>
          <w:rFonts w:ascii="Myriad Pro" w:hAnsi="Myriad Pro"/>
          <w:lang w:val="en-GB"/>
        </w:rPr>
        <w:t>:</w:t>
      </w:r>
      <w:r w:rsidR="00CC77FE" w:rsidRPr="00F922EA">
        <w:rPr>
          <w:rFonts w:ascii="Myriad Pro" w:hAnsi="Myriad Pro"/>
          <w:lang w:val="en-GB"/>
        </w:rPr>
        <w:t xml:space="preserve">IEC </w:t>
      </w:r>
      <w:r w:rsidRPr="00F922EA">
        <w:rPr>
          <w:rFonts w:ascii="Myriad Pro" w:hAnsi="Myriad Pro"/>
          <w:lang w:val="en-GB"/>
        </w:rPr>
        <w:t>17025 standard, is ava</w:t>
      </w:r>
      <w:r w:rsidR="00957908" w:rsidRPr="00F922EA">
        <w:rPr>
          <w:rFonts w:ascii="Myriad Pro" w:hAnsi="Myriad Pro"/>
          <w:lang w:val="en-GB"/>
        </w:rPr>
        <w:t xml:space="preserve">ilable from a link on this page </w:t>
      </w:r>
      <w:hyperlink r:id="rId10" w:history="1">
        <w:r w:rsidR="00222F85" w:rsidRPr="008F24E0">
          <w:rPr>
            <w:rStyle w:val="Hyperlink"/>
            <w:rFonts w:ascii="Myriad Pro" w:hAnsi="Myriad Pro"/>
            <w:lang w:val="en-GB"/>
          </w:rPr>
          <w:t>https://www.edqm.eu/en/ocabrobpr-immunological-veterinary-medicinal-products-ivmps</w:t>
        </w:r>
      </w:hyperlink>
      <w:r w:rsidR="00957908" w:rsidRPr="00F922EA">
        <w:rPr>
          <w:rFonts w:ascii="Myriad Pro" w:hAnsi="Myriad Pro"/>
          <w:lang w:val="en-GB"/>
        </w:rPr>
        <w:t xml:space="preserve">. </w:t>
      </w:r>
      <w:r w:rsidRPr="00F922EA">
        <w:rPr>
          <w:rFonts w:ascii="Myriad Pro" w:hAnsi="Myriad Pro"/>
          <w:lang w:val="en-GB"/>
        </w:rPr>
        <w:t xml:space="preserve">The list will be updated </w:t>
      </w:r>
      <w:r w:rsidR="004B50C0" w:rsidRPr="00F922EA">
        <w:rPr>
          <w:rFonts w:ascii="Myriad Pro" w:hAnsi="Myriad Pro"/>
          <w:lang w:val="en-GB"/>
        </w:rPr>
        <w:t>when the EDQM is informed of</w:t>
      </w:r>
      <w:r w:rsidRPr="00F922EA">
        <w:rPr>
          <w:rFonts w:ascii="Myriad Pro" w:hAnsi="Myriad Pro"/>
          <w:lang w:val="en-GB"/>
        </w:rPr>
        <w:t xml:space="preserve"> changes </w:t>
      </w:r>
      <w:r w:rsidR="004B50C0" w:rsidRPr="00F922EA">
        <w:rPr>
          <w:rFonts w:ascii="Myriad Pro" w:hAnsi="Myriad Pro"/>
          <w:lang w:val="en-GB"/>
        </w:rPr>
        <w:t xml:space="preserve">by </w:t>
      </w:r>
      <w:r w:rsidRPr="00F922EA">
        <w:rPr>
          <w:rFonts w:ascii="Myriad Pro" w:hAnsi="Myriad Pro"/>
          <w:lang w:val="en-GB"/>
        </w:rPr>
        <w:t>the CA/OMCLs</w:t>
      </w:r>
      <w:r w:rsidR="004B50C0" w:rsidRPr="00F922EA">
        <w:rPr>
          <w:rFonts w:ascii="Myriad Pro" w:hAnsi="Myriad Pro"/>
          <w:lang w:val="en-GB"/>
        </w:rPr>
        <w:t xml:space="preserve"> involved</w:t>
      </w:r>
      <w:r w:rsidRPr="00F922EA">
        <w:rPr>
          <w:rFonts w:ascii="Myriad Pro" w:hAnsi="Myriad Pro"/>
          <w:lang w:val="en-GB"/>
        </w:rPr>
        <w:t>.</w:t>
      </w:r>
    </w:p>
    <w:p w14:paraId="73A40E20" w14:textId="77777777" w:rsidR="006279E6" w:rsidRPr="00F922EA" w:rsidRDefault="006279E6" w:rsidP="00EF73E6">
      <w:pPr>
        <w:pStyle w:val="BodyText"/>
        <w:jc w:val="left"/>
        <w:rPr>
          <w:rFonts w:ascii="Myriad Pro" w:hAnsi="Myriad Pro"/>
          <w:b/>
          <w:sz w:val="48"/>
        </w:rPr>
      </w:pPr>
    </w:p>
    <w:sectPr w:rsidR="006279E6" w:rsidRPr="00F922EA" w:rsidSect="00392A78">
      <w:footerReference w:type="default" r:id="rId11"/>
      <w:headerReference w:type="first" r:id="rId12"/>
      <w:footerReference w:type="first" r:id="rId13"/>
      <w:pgSz w:w="11899" w:h="16838"/>
      <w:pgMar w:top="1380" w:right="842" w:bottom="1417" w:left="1417" w:header="283" w:footer="567" w:gutter="0"/>
      <w:pgNumType w:fmt="lowerRoman"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0BA6" w14:textId="77777777" w:rsidR="00F86B41" w:rsidRDefault="00F86B41">
      <w:r>
        <w:separator/>
      </w:r>
    </w:p>
  </w:endnote>
  <w:endnote w:type="continuationSeparator" w:id="0">
    <w:p w14:paraId="3820EF88" w14:textId="77777777" w:rsidR="00F86B41" w:rsidRDefault="00F8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970A" w14:textId="1C4EB7BE" w:rsidR="0015150A" w:rsidRPr="00C0266E" w:rsidRDefault="00392A78" w:rsidP="00392A78">
    <w:pPr>
      <w:pStyle w:val="Footer"/>
      <w:tabs>
        <w:tab w:val="right" w:pos="9070"/>
      </w:tabs>
    </w:pPr>
    <w:r w:rsidRPr="00450979">
      <w:rPr>
        <w:rFonts w:ascii="Myriad Pro" w:hAnsi="Myriad Pro"/>
        <w:color w:val="404040"/>
        <w:sz w:val="20"/>
      </w:rPr>
      <w:t xml:space="preserve">EDQM </w:t>
    </w:r>
    <w:r w:rsidRPr="006419EB">
      <w:rPr>
        <w:rFonts w:ascii="Myriad Pro" w:hAnsi="Myriad Pro"/>
        <w:color w:val="404040"/>
        <w:position w:val="2"/>
        <w:sz w:val="12"/>
        <w:szCs w:val="12"/>
      </w:rPr>
      <w:sym w:font="Monotype Sorts" w:char="F075"/>
    </w:r>
    <w:r w:rsidRPr="00450979">
      <w:rPr>
        <w:rFonts w:ascii="Myriad Pro" w:hAnsi="Myriad Pro"/>
        <w:color w:val="404040"/>
        <w:sz w:val="20"/>
      </w:rPr>
      <w:t xml:space="preserve"> </w:t>
    </w:r>
    <w:r>
      <w:rPr>
        <w:rFonts w:ascii="Myriad Pro" w:hAnsi="Myriad Pro"/>
        <w:color w:val="404040"/>
        <w:sz w:val="20"/>
      </w:rPr>
      <w:t xml:space="preserve">Veterinary Batch Release Network </w:t>
    </w:r>
    <w:r w:rsidRPr="006419EB">
      <w:rPr>
        <w:rFonts w:ascii="Myriad Pro" w:hAnsi="Myriad Pro"/>
        <w:color w:val="404040"/>
        <w:position w:val="2"/>
        <w:sz w:val="12"/>
        <w:szCs w:val="12"/>
      </w:rPr>
      <w:sym w:font="Monotype Sorts" w:char="F075"/>
    </w:r>
    <w:r w:rsidRPr="00450979">
      <w:rPr>
        <w:rFonts w:ascii="Myriad Pro" w:hAnsi="Myriad Pro"/>
        <w:color w:val="404040"/>
        <w:sz w:val="20"/>
      </w:rPr>
      <w:t xml:space="preserve"> </w:t>
    </w:r>
    <w:r>
      <w:rPr>
        <w:rFonts w:ascii="Myriad Pro" w:hAnsi="Myriad Pro"/>
        <w:color w:val="404040"/>
        <w:sz w:val="20"/>
      </w:rPr>
      <w:t xml:space="preserve">released </w:t>
    </w:r>
    <w:r w:rsidRPr="000C6455">
      <w:rPr>
        <w:rFonts w:ascii="Myriad Pro" w:hAnsi="Myriad Pro"/>
        <w:color w:val="404040"/>
        <w:sz w:val="20"/>
      </w:rPr>
      <w:t xml:space="preserve">online </w:t>
    </w:r>
    <w:r w:rsidR="00357FE2">
      <w:rPr>
        <w:rFonts w:ascii="Myriad Pro" w:hAnsi="Myriad Pro"/>
        <w:color w:val="404040"/>
        <w:sz w:val="20"/>
      </w:rPr>
      <w:t>18</w:t>
    </w:r>
    <w:r w:rsidRPr="000C6455">
      <w:rPr>
        <w:rFonts w:ascii="Myriad Pro" w:hAnsi="Myriad Pro"/>
        <w:color w:val="404040"/>
        <w:sz w:val="20"/>
      </w:rPr>
      <w:t xml:space="preserve"> </w:t>
    </w:r>
    <w:r>
      <w:rPr>
        <w:rFonts w:ascii="Myriad Pro" w:hAnsi="Myriad Pro"/>
        <w:color w:val="404040"/>
        <w:sz w:val="20"/>
      </w:rPr>
      <w:t>August 2025</w:t>
    </w:r>
    <w:r>
      <w:tab/>
    </w:r>
    <w:r>
      <w:tab/>
    </w:r>
    <w:sdt>
      <w:sdtPr>
        <w:id w:val="490061614"/>
        <w:docPartObj>
          <w:docPartGallery w:val="Page Numbers (Bottom of Page)"/>
          <w:docPartUnique/>
        </w:docPartObj>
      </w:sdtPr>
      <w:sdtContent>
        <w:r w:rsidR="0015150A">
          <w:fldChar w:fldCharType="begin"/>
        </w:r>
        <w:r w:rsidR="0015150A">
          <w:instrText>PAGE   \* MERGEFORMAT</w:instrText>
        </w:r>
        <w:r w:rsidR="0015150A">
          <w:fldChar w:fldCharType="separate"/>
        </w:r>
        <w:r w:rsidR="00680406">
          <w:rPr>
            <w:noProof/>
          </w:rPr>
          <w:t>v</w:t>
        </w:r>
        <w:r w:rsidR="0015150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682E" w14:textId="1AAD41FE" w:rsidR="0015150A" w:rsidRDefault="00392A78" w:rsidP="00392A78">
    <w:pPr>
      <w:pStyle w:val="Footer"/>
      <w:tabs>
        <w:tab w:val="right" w:pos="9070"/>
      </w:tabs>
    </w:pPr>
    <w:r w:rsidRPr="00450979">
      <w:rPr>
        <w:rFonts w:ascii="Myriad Pro" w:hAnsi="Myriad Pro"/>
        <w:color w:val="404040"/>
        <w:sz w:val="20"/>
      </w:rPr>
      <w:t xml:space="preserve">EDQM </w:t>
    </w:r>
    <w:r w:rsidRPr="006419EB">
      <w:rPr>
        <w:rFonts w:ascii="Myriad Pro" w:hAnsi="Myriad Pro"/>
        <w:color w:val="404040"/>
        <w:position w:val="2"/>
        <w:sz w:val="12"/>
        <w:szCs w:val="12"/>
      </w:rPr>
      <w:sym w:font="Monotype Sorts" w:char="F075"/>
    </w:r>
    <w:r w:rsidRPr="00450979">
      <w:rPr>
        <w:rFonts w:ascii="Myriad Pro" w:hAnsi="Myriad Pro"/>
        <w:color w:val="404040"/>
        <w:sz w:val="20"/>
      </w:rPr>
      <w:t xml:space="preserve"> </w:t>
    </w:r>
    <w:r>
      <w:rPr>
        <w:rFonts w:ascii="Myriad Pro" w:hAnsi="Myriad Pro"/>
        <w:color w:val="404040"/>
        <w:sz w:val="20"/>
      </w:rPr>
      <w:t xml:space="preserve">Veterinary Batch Release Network </w:t>
    </w:r>
    <w:r w:rsidRPr="006419EB">
      <w:rPr>
        <w:rFonts w:ascii="Myriad Pro" w:hAnsi="Myriad Pro"/>
        <w:color w:val="404040"/>
        <w:position w:val="2"/>
        <w:sz w:val="12"/>
        <w:szCs w:val="12"/>
      </w:rPr>
      <w:sym w:font="Monotype Sorts" w:char="F075"/>
    </w:r>
    <w:r w:rsidRPr="00450979">
      <w:rPr>
        <w:rFonts w:ascii="Myriad Pro" w:hAnsi="Myriad Pro"/>
        <w:color w:val="404040"/>
        <w:sz w:val="20"/>
      </w:rPr>
      <w:t xml:space="preserve"> </w:t>
    </w:r>
    <w:r>
      <w:rPr>
        <w:rFonts w:ascii="Myriad Pro" w:hAnsi="Myriad Pro"/>
        <w:color w:val="404040"/>
        <w:sz w:val="20"/>
      </w:rPr>
      <w:t xml:space="preserve">released online </w:t>
    </w:r>
    <w:r w:rsidR="00357FE2">
      <w:rPr>
        <w:rFonts w:ascii="Myriad Pro" w:hAnsi="Myriad Pro"/>
        <w:color w:val="404040"/>
        <w:sz w:val="20"/>
      </w:rPr>
      <w:t>18</w:t>
    </w:r>
    <w:r w:rsidRPr="000C6455">
      <w:rPr>
        <w:rFonts w:ascii="Myriad Pro" w:hAnsi="Myriad Pro"/>
        <w:color w:val="404040"/>
        <w:sz w:val="20"/>
      </w:rPr>
      <w:t xml:space="preserve"> </w:t>
    </w:r>
    <w:r>
      <w:rPr>
        <w:rFonts w:ascii="Myriad Pro" w:hAnsi="Myriad Pro"/>
        <w:color w:val="404040"/>
        <w:sz w:val="20"/>
      </w:rPr>
      <w:t>August 2025</w:t>
    </w:r>
    <w:r>
      <w:tab/>
    </w:r>
    <w:r>
      <w:tab/>
    </w:r>
    <w:sdt>
      <w:sdtPr>
        <w:id w:val="1509551531"/>
        <w:docPartObj>
          <w:docPartGallery w:val="Page Numbers (Bottom of Page)"/>
          <w:docPartUnique/>
        </w:docPartObj>
      </w:sdtPr>
      <w:sdtContent>
        <w:r w:rsidR="0015150A">
          <w:fldChar w:fldCharType="begin"/>
        </w:r>
        <w:r w:rsidR="0015150A">
          <w:instrText>PAGE   \* MERGEFORMAT</w:instrText>
        </w:r>
        <w:r w:rsidR="0015150A">
          <w:fldChar w:fldCharType="separate"/>
        </w:r>
        <w:r w:rsidR="00680406" w:rsidRPr="00F922EA">
          <w:rPr>
            <w:noProof/>
            <w:lang w:val="en-GB"/>
          </w:rPr>
          <w:t>i</w:t>
        </w:r>
        <w:r w:rsidR="0015150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FE73" w14:textId="77777777" w:rsidR="00F86B41" w:rsidRDefault="00F86B41">
      <w:r>
        <w:separator/>
      </w:r>
    </w:p>
  </w:footnote>
  <w:footnote w:type="continuationSeparator" w:id="0">
    <w:p w14:paraId="145C31F5" w14:textId="77777777" w:rsidR="00F86B41" w:rsidRDefault="00F86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9967" w14:textId="787995F3" w:rsidR="00F922EA" w:rsidRDefault="00F922EA">
    <w:pPr>
      <w:pStyle w:val="Header"/>
    </w:pPr>
    <w:r w:rsidRPr="00F922EA">
      <w:rPr>
        <w:noProof/>
      </w:rPr>
      <w:drawing>
        <wp:inline distT="0" distB="0" distL="0" distR="0" wp14:anchorId="6B7A7C31" wp14:editId="3999D937">
          <wp:extent cx="6121400" cy="779780"/>
          <wp:effectExtent l="0" t="0" r="0" b="1270"/>
          <wp:docPr id="1030389635" name="Picture 1" descr="A blue square with yellow star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89635" name="Picture 1" descr="A blue square with yellow stars in a circle&#10;&#10;AI-generated content may be incorrect."/>
                  <pic:cNvPicPr/>
                </pic:nvPicPr>
                <pic:blipFill>
                  <a:blip r:embed="rId1"/>
                  <a:stretch>
                    <a:fillRect/>
                  </a:stretch>
                </pic:blipFill>
                <pic:spPr>
                  <a:xfrm>
                    <a:off x="0" y="0"/>
                    <a:ext cx="6121400" cy="779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5F82"/>
    <w:multiLevelType w:val="hybridMultilevel"/>
    <w:tmpl w:val="7D687A66"/>
    <w:lvl w:ilvl="0" w:tplc="841E1994">
      <w:start w:val="1"/>
      <w:numFmt w:val="bullet"/>
      <w:lvlText w:val=""/>
      <w:lvlJc w:val="left"/>
      <w:pPr>
        <w:tabs>
          <w:tab w:val="num" w:pos="840"/>
        </w:tabs>
        <w:ind w:left="840" w:hanging="360"/>
      </w:pPr>
      <w:rPr>
        <w:rFonts w:ascii="Symbol" w:hAnsi="Symbol" w:hint="default"/>
      </w:rPr>
    </w:lvl>
    <w:lvl w:ilvl="1" w:tplc="B64AE8AE" w:tentative="1">
      <w:start w:val="1"/>
      <w:numFmt w:val="bullet"/>
      <w:lvlText w:val="o"/>
      <w:lvlJc w:val="left"/>
      <w:pPr>
        <w:tabs>
          <w:tab w:val="num" w:pos="1560"/>
        </w:tabs>
        <w:ind w:left="1560" w:hanging="360"/>
      </w:pPr>
      <w:rPr>
        <w:rFonts w:ascii="Courier New" w:hAnsi="Courier New" w:hint="default"/>
      </w:rPr>
    </w:lvl>
    <w:lvl w:ilvl="2" w:tplc="0EBE120A" w:tentative="1">
      <w:start w:val="1"/>
      <w:numFmt w:val="bullet"/>
      <w:lvlText w:val=""/>
      <w:lvlJc w:val="left"/>
      <w:pPr>
        <w:tabs>
          <w:tab w:val="num" w:pos="2280"/>
        </w:tabs>
        <w:ind w:left="2280" w:hanging="360"/>
      </w:pPr>
      <w:rPr>
        <w:rFonts w:ascii="Wingdings" w:hAnsi="Wingdings" w:hint="default"/>
      </w:rPr>
    </w:lvl>
    <w:lvl w:ilvl="3" w:tplc="5EA2EF30" w:tentative="1">
      <w:start w:val="1"/>
      <w:numFmt w:val="bullet"/>
      <w:lvlText w:val=""/>
      <w:lvlJc w:val="left"/>
      <w:pPr>
        <w:tabs>
          <w:tab w:val="num" w:pos="3000"/>
        </w:tabs>
        <w:ind w:left="3000" w:hanging="360"/>
      </w:pPr>
      <w:rPr>
        <w:rFonts w:ascii="Symbol" w:hAnsi="Symbol" w:hint="default"/>
      </w:rPr>
    </w:lvl>
    <w:lvl w:ilvl="4" w:tplc="BDD2D5C2" w:tentative="1">
      <w:start w:val="1"/>
      <w:numFmt w:val="bullet"/>
      <w:lvlText w:val="o"/>
      <w:lvlJc w:val="left"/>
      <w:pPr>
        <w:tabs>
          <w:tab w:val="num" w:pos="3720"/>
        </w:tabs>
        <w:ind w:left="3720" w:hanging="360"/>
      </w:pPr>
      <w:rPr>
        <w:rFonts w:ascii="Courier New" w:hAnsi="Courier New" w:hint="default"/>
      </w:rPr>
    </w:lvl>
    <w:lvl w:ilvl="5" w:tplc="F7CE6012" w:tentative="1">
      <w:start w:val="1"/>
      <w:numFmt w:val="bullet"/>
      <w:lvlText w:val=""/>
      <w:lvlJc w:val="left"/>
      <w:pPr>
        <w:tabs>
          <w:tab w:val="num" w:pos="4440"/>
        </w:tabs>
        <w:ind w:left="4440" w:hanging="360"/>
      </w:pPr>
      <w:rPr>
        <w:rFonts w:ascii="Wingdings" w:hAnsi="Wingdings" w:hint="default"/>
      </w:rPr>
    </w:lvl>
    <w:lvl w:ilvl="6" w:tplc="F70C181C" w:tentative="1">
      <w:start w:val="1"/>
      <w:numFmt w:val="bullet"/>
      <w:lvlText w:val=""/>
      <w:lvlJc w:val="left"/>
      <w:pPr>
        <w:tabs>
          <w:tab w:val="num" w:pos="5160"/>
        </w:tabs>
        <w:ind w:left="5160" w:hanging="360"/>
      </w:pPr>
      <w:rPr>
        <w:rFonts w:ascii="Symbol" w:hAnsi="Symbol" w:hint="default"/>
      </w:rPr>
    </w:lvl>
    <w:lvl w:ilvl="7" w:tplc="2CAABDF6" w:tentative="1">
      <w:start w:val="1"/>
      <w:numFmt w:val="bullet"/>
      <w:lvlText w:val="o"/>
      <w:lvlJc w:val="left"/>
      <w:pPr>
        <w:tabs>
          <w:tab w:val="num" w:pos="5880"/>
        </w:tabs>
        <w:ind w:left="5880" w:hanging="360"/>
      </w:pPr>
      <w:rPr>
        <w:rFonts w:ascii="Courier New" w:hAnsi="Courier New" w:hint="default"/>
      </w:rPr>
    </w:lvl>
    <w:lvl w:ilvl="8" w:tplc="1E7003B2"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2CB849A3"/>
    <w:multiLevelType w:val="hybridMultilevel"/>
    <w:tmpl w:val="6698387E"/>
    <w:lvl w:ilvl="0" w:tplc="F35473F6">
      <w:start w:val="1"/>
      <w:numFmt w:val="bullet"/>
      <w:lvlText w:val=""/>
      <w:lvlJc w:val="left"/>
      <w:pPr>
        <w:tabs>
          <w:tab w:val="num" w:pos="780"/>
        </w:tabs>
        <w:ind w:left="780" w:hanging="360"/>
      </w:pPr>
      <w:rPr>
        <w:rFonts w:ascii="Symbol" w:hAnsi="Symbol" w:hint="default"/>
      </w:rPr>
    </w:lvl>
    <w:lvl w:ilvl="1" w:tplc="05062192" w:tentative="1">
      <w:start w:val="1"/>
      <w:numFmt w:val="bullet"/>
      <w:lvlText w:val="o"/>
      <w:lvlJc w:val="left"/>
      <w:pPr>
        <w:tabs>
          <w:tab w:val="num" w:pos="1500"/>
        </w:tabs>
        <w:ind w:left="1500" w:hanging="360"/>
      </w:pPr>
      <w:rPr>
        <w:rFonts w:ascii="Courier New" w:hAnsi="Courier New" w:hint="default"/>
      </w:rPr>
    </w:lvl>
    <w:lvl w:ilvl="2" w:tplc="35E63312" w:tentative="1">
      <w:start w:val="1"/>
      <w:numFmt w:val="bullet"/>
      <w:lvlText w:val=""/>
      <w:lvlJc w:val="left"/>
      <w:pPr>
        <w:tabs>
          <w:tab w:val="num" w:pos="2220"/>
        </w:tabs>
        <w:ind w:left="2220" w:hanging="360"/>
      </w:pPr>
      <w:rPr>
        <w:rFonts w:ascii="Wingdings" w:hAnsi="Wingdings" w:hint="default"/>
      </w:rPr>
    </w:lvl>
    <w:lvl w:ilvl="3" w:tplc="8D66FD60" w:tentative="1">
      <w:start w:val="1"/>
      <w:numFmt w:val="bullet"/>
      <w:lvlText w:val=""/>
      <w:lvlJc w:val="left"/>
      <w:pPr>
        <w:tabs>
          <w:tab w:val="num" w:pos="2940"/>
        </w:tabs>
        <w:ind w:left="2940" w:hanging="360"/>
      </w:pPr>
      <w:rPr>
        <w:rFonts w:ascii="Symbol" w:hAnsi="Symbol" w:hint="default"/>
      </w:rPr>
    </w:lvl>
    <w:lvl w:ilvl="4" w:tplc="1104159C" w:tentative="1">
      <w:start w:val="1"/>
      <w:numFmt w:val="bullet"/>
      <w:lvlText w:val="o"/>
      <w:lvlJc w:val="left"/>
      <w:pPr>
        <w:tabs>
          <w:tab w:val="num" w:pos="3660"/>
        </w:tabs>
        <w:ind w:left="3660" w:hanging="360"/>
      </w:pPr>
      <w:rPr>
        <w:rFonts w:ascii="Courier New" w:hAnsi="Courier New" w:hint="default"/>
      </w:rPr>
    </w:lvl>
    <w:lvl w:ilvl="5" w:tplc="6BA069B4" w:tentative="1">
      <w:start w:val="1"/>
      <w:numFmt w:val="bullet"/>
      <w:lvlText w:val=""/>
      <w:lvlJc w:val="left"/>
      <w:pPr>
        <w:tabs>
          <w:tab w:val="num" w:pos="4380"/>
        </w:tabs>
        <w:ind w:left="4380" w:hanging="360"/>
      </w:pPr>
      <w:rPr>
        <w:rFonts w:ascii="Wingdings" w:hAnsi="Wingdings" w:hint="default"/>
      </w:rPr>
    </w:lvl>
    <w:lvl w:ilvl="6" w:tplc="8FAE9E7A" w:tentative="1">
      <w:start w:val="1"/>
      <w:numFmt w:val="bullet"/>
      <w:lvlText w:val=""/>
      <w:lvlJc w:val="left"/>
      <w:pPr>
        <w:tabs>
          <w:tab w:val="num" w:pos="5100"/>
        </w:tabs>
        <w:ind w:left="5100" w:hanging="360"/>
      </w:pPr>
      <w:rPr>
        <w:rFonts w:ascii="Symbol" w:hAnsi="Symbol" w:hint="default"/>
      </w:rPr>
    </w:lvl>
    <w:lvl w:ilvl="7" w:tplc="15722FF0" w:tentative="1">
      <w:start w:val="1"/>
      <w:numFmt w:val="bullet"/>
      <w:lvlText w:val="o"/>
      <w:lvlJc w:val="left"/>
      <w:pPr>
        <w:tabs>
          <w:tab w:val="num" w:pos="5820"/>
        </w:tabs>
        <w:ind w:left="5820" w:hanging="360"/>
      </w:pPr>
      <w:rPr>
        <w:rFonts w:ascii="Courier New" w:hAnsi="Courier New" w:hint="default"/>
      </w:rPr>
    </w:lvl>
    <w:lvl w:ilvl="8" w:tplc="6E5C1AE0"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9B9067E"/>
    <w:multiLevelType w:val="hybridMultilevel"/>
    <w:tmpl w:val="8806EA38"/>
    <w:lvl w:ilvl="0" w:tplc="43EACF48">
      <w:start w:val="1"/>
      <w:numFmt w:val="bullet"/>
      <w:lvlText w:val=""/>
      <w:lvlJc w:val="left"/>
      <w:pPr>
        <w:tabs>
          <w:tab w:val="num" w:pos="720"/>
        </w:tabs>
        <w:ind w:left="720" w:hanging="360"/>
      </w:pPr>
      <w:rPr>
        <w:rFonts w:ascii="Symbol" w:hAnsi="Symbol" w:hint="default"/>
      </w:rPr>
    </w:lvl>
    <w:lvl w:ilvl="1" w:tplc="793A326C" w:tentative="1">
      <w:start w:val="1"/>
      <w:numFmt w:val="bullet"/>
      <w:lvlText w:val="o"/>
      <w:lvlJc w:val="left"/>
      <w:pPr>
        <w:tabs>
          <w:tab w:val="num" w:pos="1440"/>
        </w:tabs>
        <w:ind w:left="1440" w:hanging="360"/>
      </w:pPr>
      <w:rPr>
        <w:rFonts w:ascii="Courier New" w:hAnsi="Courier New" w:hint="default"/>
      </w:rPr>
    </w:lvl>
    <w:lvl w:ilvl="2" w:tplc="CB703296" w:tentative="1">
      <w:start w:val="1"/>
      <w:numFmt w:val="bullet"/>
      <w:lvlText w:val=""/>
      <w:lvlJc w:val="left"/>
      <w:pPr>
        <w:tabs>
          <w:tab w:val="num" w:pos="2160"/>
        </w:tabs>
        <w:ind w:left="2160" w:hanging="360"/>
      </w:pPr>
      <w:rPr>
        <w:rFonts w:ascii="Wingdings" w:hAnsi="Wingdings" w:hint="default"/>
      </w:rPr>
    </w:lvl>
    <w:lvl w:ilvl="3" w:tplc="16506238" w:tentative="1">
      <w:start w:val="1"/>
      <w:numFmt w:val="bullet"/>
      <w:lvlText w:val=""/>
      <w:lvlJc w:val="left"/>
      <w:pPr>
        <w:tabs>
          <w:tab w:val="num" w:pos="2880"/>
        </w:tabs>
        <w:ind w:left="2880" w:hanging="360"/>
      </w:pPr>
      <w:rPr>
        <w:rFonts w:ascii="Symbol" w:hAnsi="Symbol" w:hint="default"/>
      </w:rPr>
    </w:lvl>
    <w:lvl w:ilvl="4" w:tplc="647A0C8E" w:tentative="1">
      <w:start w:val="1"/>
      <w:numFmt w:val="bullet"/>
      <w:lvlText w:val="o"/>
      <w:lvlJc w:val="left"/>
      <w:pPr>
        <w:tabs>
          <w:tab w:val="num" w:pos="3600"/>
        </w:tabs>
        <w:ind w:left="3600" w:hanging="360"/>
      </w:pPr>
      <w:rPr>
        <w:rFonts w:ascii="Courier New" w:hAnsi="Courier New" w:hint="default"/>
      </w:rPr>
    </w:lvl>
    <w:lvl w:ilvl="5" w:tplc="EDB27142" w:tentative="1">
      <w:start w:val="1"/>
      <w:numFmt w:val="bullet"/>
      <w:lvlText w:val=""/>
      <w:lvlJc w:val="left"/>
      <w:pPr>
        <w:tabs>
          <w:tab w:val="num" w:pos="4320"/>
        </w:tabs>
        <w:ind w:left="4320" w:hanging="360"/>
      </w:pPr>
      <w:rPr>
        <w:rFonts w:ascii="Wingdings" w:hAnsi="Wingdings" w:hint="default"/>
      </w:rPr>
    </w:lvl>
    <w:lvl w:ilvl="6" w:tplc="660A200A" w:tentative="1">
      <w:start w:val="1"/>
      <w:numFmt w:val="bullet"/>
      <w:lvlText w:val=""/>
      <w:lvlJc w:val="left"/>
      <w:pPr>
        <w:tabs>
          <w:tab w:val="num" w:pos="5040"/>
        </w:tabs>
        <w:ind w:left="5040" w:hanging="360"/>
      </w:pPr>
      <w:rPr>
        <w:rFonts w:ascii="Symbol" w:hAnsi="Symbol" w:hint="default"/>
      </w:rPr>
    </w:lvl>
    <w:lvl w:ilvl="7" w:tplc="7B56EF42" w:tentative="1">
      <w:start w:val="1"/>
      <w:numFmt w:val="bullet"/>
      <w:lvlText w:val="o"/>
      <w:lvlJc w:val="left"/>
      <w:pPr>
        <w:tabs>
          <w:tab w:val="num" w:pos="5760"/>
        </w:tabs>
        <w:ind w:left="5760" w:hanging="360"/>
      </w:pPr>
      <w:rPr>
        <w:rFonts w:ascii="Courier New" w:hAnsi="Courier New" w:hint="default"/>
      </w:rPr>
    </w:lvl>
    <w:lvl w:ilvl="8" w:tplc="3B7A2A2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46310C"/>
    <w:multiLevelType w:val="hybridMultilevel"/>
    <w:tmpl w:val="A6AA5098"/>
    <w:lvl w:ilvl="0" w:tplc="E06052FA">
      <w:start w:val="1"/>
      <w:numFmt w:val="bullet"/>
      <w:lvlText w:val=""/>
      <w:lvlJc w:val="left"/>
      <w:pPr>
        <w:tabs>
          <w:tab w:val="num" w:pos="840"/>
        </w:tabs>
        <w:ind w:left="840" w:hanging="360"/>
      </w:pPr>
      <w:rPr>
        <w:rFonts w:ascii="Symbol" w:hAnsi="Symbol" w:hint="default"/>
      </w:rPr>
    </w:lvl>
    <w:lvl w:ilvl="1" w:tplc="8FFE7948" w:tentative="1">
      <w:start w:val="1"/>
      <w:numFmt w:val="bullet"/>
      <w:lvlText w:val="o"/>
      <w:lvlJc w:val="left"/>
      <w:pPr>
        <w:tabs>
          <w:tab w:val="num" w:pos="1560"/>
        </w:tabs>
        <w:ind w:left="1560" w:hanging="360"/>
      </w:pPr>
      <w:rPr>
        <w:rFonts w:ascii="Courier New" w:hAnsi="Courier New" w:hint="default"/>
      </w:rPr>
    </w:lvl>
    <w:lvl w:ilvl="2" w:tplc="51CA497E" w:tentative="1">
      <w:start w:val="1"/>
      <w:numFmt w:val="bullet"/>
      <w:lvlText w:val=""/>
      <w:lvlJc w:val="left"/>
      <w:pPr>
        <w:tabs>
          <w:tab w:val="num" w:pos="2280"/>
        </w:tabs>
        <w:ind w:left="2280" w:hanging="360"/>
      </w:pPr>
      <w:rPr>
        <w:rFonts w:ascii="Wingdings" w:hAnsi="Wingdings" w:hint="default"/>
      </w:rPr>
    </w:lvl>
    <w:lvl w:ilvl="3" w:tplc="FC26067E" w:tentative="1">
      <w:start w:val="1"/>
      <w:numFmt w:val="bullet"/>
      <w:lvlText w:val=""/>
      <w:lvlJc w:val="left"/>
      <w:pPr>
        <w:tabs>
          <w:tab w:val="num" w:pos="3000"/>
        </w:tabs>
        <w:ind w:left="3000" w:hanging="360"/>
      </w:pPr>
      <w:rPr>
        <w:rFonts w:ascii="Symbol" w:hAnsi="Symbol" w:hint="default"/>
      </w:rPr>
    </w:lvl>
    <w:lvl w:ilvl="4" w:tplc="49E65CA2" w:tentative="1">
      <w:start w:val="1"/>
      <w:numFmt w:val="bullet"/>
      <w:lvlText w:val="o"/>
      <w:lvlJc w:val="left"/>
      <w:pPr>
        <w:tabs>
          <w:tab w:val="num" w:pos="3720"/>
        </w:tabs>
        <w:ind w:left="3720" w:hanging="360"/>
      </w:pPr>
      <w:rPr>
        <w:rFonts w:ascii="Courier New" w:hAnsi="Courier New" w:hint="default"/>
      </w:rPr>
    </w:lvl>
    <w:lvl w:ilvl="5" w:tplc="24DE9EA2" w:tentative="1">
      <w:start w:val="1"/>
      <w:numFmt w:val="bullet"/>
      <w:lvlText w:val=""/>
      <w:lvlJc w:val="left"/>
      <w:pPr>
        <w:tabs>
          <w:tab w:val="num" w:pos="4440"/>
        </w:tabs>
        <w:ind w:left="4440" w:hanging="360"/>
      </w:pPr>
      <w:rPr>
        <w:rFonts w:ascii="Wingdings" w:hAnsi="Wingdings" w:hint="default"/>
      </w:rPr>
    </w:lvl>
    <w:lvl w:ilvl="6" w:tplc="2D8EFBFA" w:tentative="1">
      <w:start w:val="1"/>
      <w:numFmt w:val="bullet"/>
      <w:lvlText w:val=""/>
      <w:lvlJc w:val="left"/>
      <w:pPr>
        <w:tabs>
          <w:tab w:val="num" w:pos="5160"/>
        </w:tabs>
        <w:ind w:left="5160" w:hanging="360"/>
      </w:pPr>
      <w:rPr>
        <w:rFonts w:ascii="Symbol" w:hAnsi="Symbol" w:hint="default"/>
      </w:rPr>
    </w:lvl>
    <w:lvl w:ilvl="7" w:tplc="45005FE8" w:tentative="1">
      <w:start w:val="1"/>
      <w:numFmt w:val="bullet"/>
      <w:lvlText w:val="o"/>
      <w:lvlJc w:val="left"/>
      <w:pPr>
        <w:tabs>
          <w:tab w:val="num" w:pos="5880"/>
        </w:tabs>
        <w:ind w:left="5880" w:hanging="360"/>
      </w:pPr>
      <w:rPr>
        <w:rFonts w:ascii="Courier New" w:hAnsi="Courier New" w:hint="default"/>
      </w:rPr>
    </w:lvl>
    <w:lvl w:ilvl="8" w:tplc="E08E4500"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593629EC"/>
    <w:multiLevelType w:val="hybridMultilevel"/>
    <w:tmpl w:val="9D96EFB6"/>
    <w:lvl w:ilvl="0" w:tplc="A68CC7AE">
      <w:numFmt w:val="bullet"/>
      <w:lvlText w:val="-"/>
      <w:lvlJc w:val="left"/>
      <w:pPr>
        <w:tabs>
          <w:tab w:val="num" w:pos="720"/>
        </w:tabs>
        <w:ind w:left="720" w:hanging="360"/>
      </w:pPr>
      <w:rPr>
        <w:rFonts w:ascii="Times New Roman" w:eastAsia="Times" w:hAnsi="Times New Roman" w:hint="default"/>
      </w:rPr>
    </w:lvl>
    <w:lvl w:ilvl="1" w:tplc="F1F03286" w:tentative="1">
      <w:start w:val="1"/>
      <w:numFmt w:val="bullet"/>
      <w:lvlText w:val="o"/>
      <w:lvlJc w:val="left"/>
      <w:pPr>
        <w:tabs>
          <w:tab w:val="num" w:pos="1440"/>
        </w:tabs>
        <w:ind w:left="1440" w:hanging="360"/>
      </w:pPr>
      <w:rPr>
        <w:rFonts w:ascii="Courier New" w:hAnsi="Courier New" w:hint="default"/>
      </w:rPr>
    </w:lvl>
    <w:lvl w:ilvl="2" w:tplc="8E1C65D8" w:tentative="1">
      <w:start w:val="1"/>
      <w:numFmt w:val="bullet"/>
      <w:lvlText w:val=""/>
      <w:lvlJc w:val="left"/>
      <w:pPr>
        <w:tabs>
          <w:tab w:val="num" w:pos="2160"/>
        </w:tabs>
        <w:ind w:left="2160" w:hanging="360"/>
      </w:pPr>
      <w:rPr>
        <w:rFonts w:ascii="Wingdings" w:hAnsi="Wingdings" w:hint="default"/>
      </w:rPr>
    </w:lvl>
    <w:lvl w:ilvl="3" w:tplc="9A6CBBC2" w:tentative="1">
      <w:start w:val="1"/>
      <w:numFmt w:val="bullet"/>
      <w:lvlText w:val=""/>
      <w:lvlJc w:val="left"/>
      <w:pPr>
        <w:tabs>
          <w:tab w:val="num" w:pos="2880"/>
        </w:tabs>
        <w:ind w:left="2880" w:hanging="360"/>
      </w:pPr>
      <w:rPr>
        <w:rFonts w:ascii="Symbol" w:hAnsi="Symbol" w:hint="default"/>
      </w:rPr>
    </w:lvl>
    <w:lvl w:ilvl="4" w:tplc="AFEA1A52" w:tentative="1">
      <w:start w:val="1"/>
      <w:numFmt w:val="bullet"/>
      <w:lvlText w:val="o"/>
      <w:lvlJc w:val="left"/>
      <w:pPr>
        <w:tabs>
          <w:tab w:val="num" w:pos="3600"/>
        </w:tabs>
        <w:ind w:left="3600" w:hanging="360"/>
      </w:pPr>
      <w:rPr>
        <w:rFonts w:ascii="Courier New" w:hAnsi="Courier New" w:hint="default"/>
      </w:rPr>
    </w:lvl>
    <w:lvl w:ilvl="5" w:tplc="24B6E798" w:tentative="1">
      <w:start w:val="1"/>
      <w:numFmt w:val="bullet"/>
      <w:lvlText w:val=""/>
      <w:lvlJc w:val="left"/>
      <w:pPr>
        <w:tabs>
          <w:tab w:val="num" w:pos="4320"/>
        </w:tabs>
        <w:ind w:left="4320" w:hanging="360"/>
      </w:pPr>
      <w:rPr>
        <w:rFonts w:ascii="Wingdings" w:hAnsi="Wingdings" w:hint="default"/>
      </w:rPr>
    </w:lvl>
    <w:lvl w:ilvl="6" w:tplc="723AB908" w:tentative="1">
      <w:start w:val="1"/>
      <w:numFmt w:val="bullet"/>
      <w:lvlText w:val=""/>
      <w:lvlJc w:val="left"/>
      <w:pPr>
        <w:tabs>
          <w:tab w:val="num" w:pos="5040"/>
        </w:tabs>
        <w:ind w:left="5040" w:hanging="360"/>
      </w:pPr>
      <w:rPr>
        <w:rFonts w:ascii="Symbol" w:hAnsi="Symbol" w:hint="default"/>
      </w:rPr>
    </w:lvl>
    <w:lvl w:ilvl="7" w:tplc="11A673B6" w:tentative="1">
      <w:start w:val="1"/>
      <w:numFmt w:val="bullet"/>
      <w:lvlText w:val="o"/>
      <w:lvlJc w:val="left"/>
      <w:pPr>
        <w:tabs>
          <w:tab w:val="num" w:pos="5760"/>
        </w:tabs>
        <w:ind w:left="5760" w:hanging="360"/>
      </w:pPr>
      <w:rPr>
        <w:rFonts w:ascii="Courier New" w:hAnsi="Courier New" w:hint="default"/>
      </w:rPr>
    </w:lvl>
    <w:lvl w:ilvl="8" w:tplc="8D84793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747992"/>
    <w:multiLevelType w:val="hybridMultilevel"/>
    <w:tmpl w:val="373C471E"/>
    <w:lvl w:ilvl="0" w:tplc="6040E14A">
      <w:start w:val="1"/>
      <w:numFmt w:val="bullet"/>
      <w:lvlText w:val=""/>
      <w:lvlJc w:val="left"/>
      <w:pPr>
        <w:tabs>
          <w:tab w:val="num" w:pos="780"/>
        </w:tabs>
        <w:ind w:left="780" w:hanging="360"/>
      </w:pPr>
      <w:rPr>
        <w:rFonts w:ascii="Symbol" w:hAnsi="Symbol" w:hint="default"/>
      </w:rPr>
    </w:lvl>
    <w:lvl w:ilvl="1" w:tplc="7778A4EE" w:tentative="1">
      <w:start w:val="1"/>
      <w:numFmt w:val="bullet"/>
      <w:lvlText w:val="o"/>
      <w:lvlJc w:val="left"/>
      <w:pPr>
        <w:tabs>
          <w:tab w:val="num" w:pos="1500"/>
        </w:tabs>
        <w:ind w:left="1500" w:hanging="360"/>
      </w:pPr>
      <w:rPr>
        <w:rFonts w:ascii="Courier New" w:hAnsi="Courier New" w:hint="default"/>
      </w:rPr>
    </w:lvl>
    <w:lvl w:ilvl="2" w:tplc="B7B05534" w:tentative="1">
      <w:start w:val="1"/>
      <w:numFmt w:val="bullet"/>
      <w:lvlText w:val=""/>
      <w:lvlJc w:val="left"/>
      <w:pPr>
        <w:tabs>
          <w:tab w:val="num" w:pos="2220"/>
        </w:tabs>
        <w:ind w:left="2220" w:hanging="360"/>
      </w:pPr>
      <w:rPr>
        <w:rFonts w:ascii="Wingdings" w:hAnsi="Wingdings" w:hint="default"/>
      </w:rPr>
    </w:lvl>
    <w:lvl w:ilvl="3" w:tplc="04B87834" w:tentative="1">
      <w:start w:val="1"/>
      <w:numFmt w:val="bullet"/>
      <w:lvlText w:val=""/>
      <w:lvlJc w:val="left"/>
      <w:pPr>
        <w:tabs>
          <w:tab w:val="num" w:pos="2940"/>
        </w:tabs>
        <w:ind w:left="2940" w:hanging="360"/>
      </w:pPr>
      <w:rPr>
        <w:rFonts w:ascii="Symbol" w:hAnsi="Symbol" w:hint="default"/>
      </w:rPr>
    </w:lvl>
    <w:lvl w:ilvl="4" w:tplc="EDCE7CFC" w:tentative="1">
      <w:start w:val="1"/>
      <w:numFmt w:val="bullet"/>
      <w:lvlText w:val="o"/>
      <w:lvlJc w:val="left"/>
      <w:pPr>
        <w:tabs>
          <w:tab w:val="num" w:pos="3660"/>
        </w:tabs>
        <w:ind w:left="3660" w:hanging="360"/>
      </w:pPr>
      <w:rPr>
        <w:rFonts w:ascii="Courier New" w:hAnsi="Courier New" w:hint="default"/>
      </w:rPr>
    </w:lvl>
    <w:lvl w:ilvl="5" w:tplc="5D70E5E2" w:tentative="1">
      <w:start w:val="1"/>
      <w:numFmt w:val="bullet"/>
      <w:lvlText w:val=""/>
      <w:lvlJc w:val="left"/>
      <w:pPr>
        <w:tabs>
          <w:tab w:val="num" w:pos="4380"/>
        </w:tabs>
        <w:ind w:left="4380" w:hanging="360"/>
      </w:pPr>
      <w:rPr>
        <w:rFonts w:ascii="Wingdings" w:hAnsi="Wingdings" w:hint="default"/>
      </w:rPr>
    </w:lvl>
    <w:lvl w:ilvl="6" w:tplc="B2A25FE4" w:tentative="1">
      <w:start w:val="1"/>
      <w:numFmt w:val="bullet"/>
      <w:lvlText w:val=""/>
      <w:lvlJc w:val="left"/>
      <w:pPr>
        <w:tabs>
          <w:tab w:val="num" w:pos="5100"/>
        </w:tabs>
        <w:ind w:left="5100" w:hanging="360"/>
      </w:pPr>
      <w:rPr>
        <w:rFonts w:ascii="Symbol" w:hAnsi="Symbol" w:hint="default"/>
      </w:rPr>
    </w:lvl>
    <w:lvl w:ilvl="7" w:tplc="0F58F290" w:tentative="1">
      <w:start w:val="1"/>
      <w:numFmt w:val="bullet"/>
      <w:lvlText w:val="o"/>
      <w:lvlJc w:val="left"/>
      <w:pPr>
        <w:tabs>
          <w:tab w:val="num" w:pos="5820"/>
        </w:tabs>
        <w:ind w:left="5820" w:hanging="360"/>
      </w:pPr>
      <w:rPr>
        <w:rFonts w:ascii="Courier New" w:hAnsi="Courier New" w:hint="default"/>
      </w:rPr>
    </w:lvl>
    <w:lvl w:ilvl="8" w:tplc="059C83AA"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5C660AC1"/>
    <w:multiLevelType w:val="hybridMultilevel"/>
    <w:tmpl w:val="373C471E"/>
    <w:lvl w:ilvl="0" w:tplc="2BE0B53A">
      <w:start w:val="1"/>
      <w:numFmt w:val="decimal"/>
      <w:lvlText w:val="%1."/>
      <w:lvlJc w:val="left"/>
      <w:pPr>
        <w:tabs>
          <w:tab w:val="num" w:pos="780"/>
        </w:tabs>
        <w:ind w:left="780" w:hanging="360"/>
      </w:pPr>
    </w:lvl>
    <w:lvl w:ilvl="1" w:tplc="1AF23896" w:tentative="1">
      <w:start w:val="1"/>
      <w:numFmt w:val="bullet"/>
      <w:lvlText w:val="o"/>
      <w:lvlJc w:val="left"/>
      <w:pPr>
        <w:tabs>
          <w:tab w:val="num" w:pos="1500"/>
        </w:tabs>
        <w:ind w:left="1500" w:hanging="360"/>
      </w:pPr>
      <w:rPr>
        <w:rFonts w:ascii="Courier New" w:hAnsi="Courier New" w:hint="default"/>
      </w:rPr>
    </w:lvl>
    <w:lvl w:ilvl="2" w:tplc="4F0632E2" w:tentative="1">
      <w:start w:val="1"/>
      <w:numFmt w:val="bullet"/>
      <w:lvlText w:val=""/>
      <w:lvlJc w:val="left"/>
      <w:pPr>
        <w:tabs>
          <w:tab w:val="num" w:pos="2220"/>
        </w:tabs>
        <w:ind w:left="2220" w:hanging="360"/>
      </w:pPr>
      <w:rPr>
        <w:rFonts w:ascii="Wingdings" w:hAnsi="Wingdings" w:hint="default"/>
      </w:rPr>
    </w:lvl>
    <w:lvl w:ilvl="3" w:tplc="8334D8EA" w:tentative="1">
      <w:start w:val="1"/>
      <w:numFmt w:val="bullet"/>
      <w:lvlText w:val=""/>
      <w:lvlJc w:val="left"/>
      <w:pPr>
        <w:tabs>
          <w:tab w:val="num" w:pos="2940"/>
        </w:tabs>
        <w:ind w:left="2940" w:hanging="360"/>
      </w:pPr>
      <w:rPr>
        <w:rFonts w:ascii="Symbol" w:hAnsi="Symbol" w:hint="default"/>
      </w:rPr>
    </w:lvl>
    <w:lvl w:ilvl="4" w:tplc="21D2DB0A" w:tentative="1">
      <w:start w:val="1"/>
      <w:numFmt w:val="bullet"/>
      <w:lvlText w:val="o"/>
      <w:lvlJc w:val="left"/>
      <w:pPr>
        <w:tabs>
          <w:tab w:val="num" w:pos="3660"/>
        </w:tabs>
        <w:ind w:left="3660" w:hanging="360"/>
      </w:pPr>
      <w:rPr>
        <w:rFonts w:ascii="Courier New" w:hAnsi="Courier New" w:hint="default"/>
      </w:rPr>
    </w:lvl>
    <w:lvl w:ilvl="5" w:tplc="B52021C8" w:tentative="1">
      <w:start w:val="1"/>
      <w:numFmt w:val="bullet"/>
      <w:lvlText w:val=""/>
      <w:lvlJc w:val="left"/>
      <w:pPr>
        <w:tabs>
          <w:tab w:val="num" w:pos="4380"/>
        </w:tabs>
        <w:ind w:left="4380" w:hanging="360"/>
      </w:pPr>
      <w:rPr>
        <w:rFonts w:ascii="Wingdings" w:hAnsi="Wingdings" w:hint="default"/>
      </w:rPr>
    </w:lvl>
    <w:lvl w:ilvl="6" w:tplc="73367A04" w:tentative="1">
      <w:start w:val="1"/>
      <w:numFmt w:val="bullet"/>
      <w:lvlText w:val=""/>
      <w:lvlJc w:val="left"/>
      <w:pPr>
        <w:tabs>
          <w:tab w:val="num" w:pos="5100"/>
        </w:tabs>
        <w:ind w:left="5100" w:hanging="360"/>
      </w:pPr>
      <w:rPr>
        <w:rFonts w:ascii="Symbol" w:hAnsi="Symbol" w:hint="default"/>
      </w:rPr>
    </w:lvl>
    <w:lvl w:ilvl="7" w:tplc="485EAC96" w:tentative="1">
      <w:start w:val="1"/>
      <w:numFmt w:val="bullet"/>
      <w:lvlText w:val="o"/>
      <w:lvlJc w:val="left"/>
      <w:pPr>
        <w:tabs>
          <w:tab w:val="num" w:pos="5820"/>
        </w:tabs>
        <w:ind w:left="5820" w:hanging="360"/>
      </w:pPr>
      <w:rPr>
        <w:rFonts w:ascii="Courier New" w:hAnsi="Courier New" w:hint="default"/>
      </w:rPr>
    </w:lvl>
    <w:lvl w:ilvl="8" w:tplc="9DCE640A" w:tentative="1">
      <w:start w:val="1"/>
      <w:numFmt w:val="bullet"/>
      <w:lvlText w:val=""/>
      <w:lvlJc w:val="left"/>
      <w:pPr>
        <w:tabs>
          <w:tab w:val="num" w:pos="6540"/>
        </w:tabs>
        <w:ind w:left="6540" w:hanging="360"/>
      </w:pPr>
      <w:rPr>
        <w:rFonts w:ascii="Wingdings" w:hAnsi="Wingdings" w:hint="default"/>
      </w:rPr>
    </w:lvl>
  </w:abstractNum>
  <w:num w:numId="1" w16cid:durableId="91512538">
    <w:abstractNumId w:val="1"/>
  </w:num>
  <w:num w:numId="2" w16cid:durableId="643513387">
    <w:abstractNumId w:val="3"/>
  </w:num>
  <w:num w:numId="3" w16cid:durableId="1080718257">
    <w:abstractNumId w:val="5"/>
  </w:num>
  <w:num w:numId="4" w16cid:durableId="699746191">
    <w:abstractNumId w:val="4"/>
  </w:num>
  <w:num w:numId="5" w16cid:durableId="1990938511">
    <w:abstractNumId w:val="6"/>
  </w:num>
  <w:num w:numId="6" w16cid:durableId="1095319071">
    <w:abstractNumId w:val="2"/>
  </w:num>
  <w:num w:numId="7" w16cid:durableId="66679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GxMDW2NLAwMDGyMDVV0lEKTi0uzszPAykwrQUAUYMzxiwAAAA="/>
  </w:docVars>
  <w:rsids>
    <w:rsidRoot w:val="005C7DDF"/>
    <w:rsid w:val="00010F61"/>
    <w:rsid w:val="000266EB"/>
    <w:rsid w:val="0004268B"/>
    <w:rsid w:val="00066213"/>
    <w:rsid w:val="00082B83"/>
    <w:rsid w:val="000A4414"/>
    <w:rsid w:val="000C6455"/>
    <w:rsid w:val="0010539F"/>
    <w:rsid w:val="00125C0C"/>
    <w:rsid w:val="00126023"/>
    <w:rsid w:val="0015150A"/>
    <w:rsid w:val="00174FE7"/>
    <w:rsid w:val="0017582A"/>
    <w:rsid w:val="001B7D3E"/>
    <w:rsid w:val="00201B99"/>
    <w:rsid w:val="002155F6"/>
    <w:rsid w:val="00217EE0"/>
    <w:rsid w:val="00222F85"/>
    <w:rsid w:val="002443D6"/>
    <w:rsid w:val="002449A0"/>
    <w:rsid w:val="0025445C"/>
    <w:rsid w:val="002D00FA"/>
    <w:rsid w:val="002D3282"/>
    <w:rsid w:val="00301677"/>
    <w:rsid w:val="0034795D"/>
    <w:rsid w:val="00357FE2"/>
    <w:rsid w:val="0037215F"/>
    <w:rsid w:val="00375339"/>
    <w:rsid w:val="00392A78"/>
    <w:rsid w:val="003931FB"/>
    <w:rsid w:val="00393545"/>
    <w:rsid w:val="003B1A53"/>
    <w:rsid w:val="003B671F"/>
    <w:rsid w:val="003C2C77"/>
    <w:rsid w:val="00417CEA"/>
    <w:rsid w:val="00435D2E"/>
    <w:rsid w:val="004372AE"/>
    <w:rsid w:val="00445686"/>
    <w:rsid w:val="004611A8"/>
    <w:rsid w:val="00465AF1"/>
    <w:rsid w:val="00470A85"/>
    <w:rsid w:val="0048643A"/>
    <w:rsid w:val="004B50C0"/>
    <w:rsid w:val="004D07E4"/>
    <w:rsid w:val="004F7F1B"/>
    <w:rsid w:val="005144F6"/>
    <w:rsid w:val="005218B2"/>
    <w:rsid w:val="0056268F"/>
    <w:rsid w:val="00566D62"/>
    <w:rsid w:val="0057425D"/>
    <w:rsid w:val="0057674C"/>
    <w:rsid w:val="00581310"/>
    <w:rsid w:val="005C36D7"/>
    <w:rsid w:val="005C69B9"/>
    <w:rsid w:val="005C7DDF"/>
    <w:rsid w:val="005D7D00"/>
    <w:rsid w:val="005F2761"/>
    <w:rsid w:val="005F35BD"/>
    <w:rsid w:val="00627291"/>
    <w:rsid w:val="006279E6"/>
    <w:rsid w:val="00644A5F"/>
    <w:rsid w:val="00680406"/>
    <w:rsid w:val="006A6398"/>
    <w:rsid w:val="006C2068"/>
    <w:rsid w:val="006D2A93"/>
    <w:rsid w:val="006F0F5F"/>
    <w:rsid w:val="00702374"/>
    <w:rsid w:val="0072746E"/>
    <w:rsid w:val="00731263"/>
    <w:rsid w:val="007602F1"/>
    <w:rsid w:val="0078320F"/>
    <w:rsid w:val="00793AD9"/>
    <w:rsid w:val="007B6676"/>
    <w:rsid w:val="00832BC1"/>
    <w:rsid w:val="0086110B"/>
    <w:rsid w:val="00875ED2"/>
    <w:rsid w:val="00887996"/>
    <w:rsid w:val="008A30EA"/>
    <w:rsid w:val="008C7F81"/>
    <w:rsid w:val="008E5CD8"/>
    <w:rsid w:val="008E72BA"/>
    <w:rsid w:val="00931304"/>
    <w:rsid w:val="0094300A"/>
    <w:rsid w:val="009438F0"/>
    <w:rsid w:val="00957908"/>
    <w:rsid w:val="009B33A8"/>
    <w:rsid w:val="009D02D0"/>
    <w:rsid w:val="009D38DA"/>
    <w:rsid w:val="009E3997"/>
    <w:rsid w:val="009F0E8C"/>
    <w:rsid w:val="00A06188"/>
    <w:rsid w:val="00A138DB"/>
    <w:rsid w:val="00A76B9B"/>
    <w:rsid w:val="00AC6900"/>
    <w:rsid w:val="00AF3080"/>
    <w:rsid w:val="00B11258"/>
    <w:rsid w:val="00B20F15"/>
    <w:rsid w:val="00B23670"/>
    <w:rsid w:val="00B3038A"/>
    <w:rsid w:val="00B376AC"/>
    <w:rsid w:val="00B5375C"/>
    <w:rsid w:val="00B57885"/>
    <w:rsid w:val="00B668D8"/>
    <w:rsid w:val="00B7180F"/>
    <w:rsid w:val="00B75478"/>
    <w:rsid w:val="00B826A3"/>
    <w:rsid w:val="00BA489E"/>
    <w:rsid w:val="00BB4CA1"/>
    <w:rsid w:val="00BC3BA5"/>
    <w:rsid w:val="00BC7712"/>
    <w:rsid w:val="00BD73C0"/>
    <w:rsid w:val="00BE41C7"/>
    <w:rsid w:val="00BE7DEC"/>
    <w:rsid w:val="00C0266E"/>
    <w:rsid w:val="00C31F23"/>
    <w:rsid w:val="00C3240D"/>
    <w:rsid w:val="00C41D72"/>
    <w:rsid w:val="00C42F9D"/>
    <w:rsid w:val="00C457C0"/>
    <w:rsid w:val="00C575F8"/>
    <w:rsid w:val="00C70F8A"/>
    <w:rsid w:val="00C71AC2"/>
    <w:rsid w:val="00CB1795"/>
    <w:rsid w:val="00CB42C6"/>
    <w:rsid w:val="00CC77FE"/>
    <w:rsid w:val="00CE51BA"/>
    <w:rsid w:val="00CF3FD3"/>
    <w:rsid w:val="00D047A2"/>
    <w:rsid w:val="00D07DD7"/>
    <w:rsid w:val="00D1416E"/>
    <w:rsid w:val="00D246A7"/>
    <w:rsid w:val="00D254D8"/>
    <w:rsid w:val="00D434C8"/>
    <w:rsid w:val="00D6693F"/>
    <w:rsid w:val="00D87554"/>
    <w:rsid w:val="00DE62F9"/>
    <w:rsid w:val="00E00BA0"/>
    <w:rsid w:val="00E41801"/>
    <w:rsid w:val="00E50E7D"/>
    <w:rsid w:val="00E54934"/>
    <w:rsid w:val="00E86A80"/>
    <w:rsid w:val="00EB44A2"/>
    <w:rsid w:val="00EB713A"/>
    <w:rsid w:val="00ED1BF1"/>
    <w:rsid w:val="00ED3EE3"/>
    <w:rsid w:val="00ED4F5A"/>
    <w:rsid w:val="00EE3245"/>
    <w:rsid w:val="00EF73E6"/>
    <w:rsid w:val="00F21E1D"/>
    <w:rsid w:val="00F236D9"/>
    <w:rsid w:val="00F242AC"/>
    <w:rsid w:val="00F313E9"/>
    <w:rsid w:val="00F319D4"/>
    <w:rsid w:val="00F46A9D"/>
    <w:rsid w:val="00F66B8C"/>
    <w:rsid w:val="00F7699F"/>
    <w:rsid w:val="00F85D8D"/>
    <w:rsid w:val="00F86B41"/>
    <w:rsid w:val="00F922EA"/>
    <w:rsid w:val="00FA00E2"/>
    <w:rsid w:val="00FA5C1D"/>
    <w:rsid w:val="00FC25FB"/>
    <w:rsid w:val="00FC40C4"/>
    <w:rsid w:val="00FD2B19"/>
    <w:rsid w:val="00FD597E"/>
    <w:rsid w:val="00FE37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456CF19"/>
  <w15:docId w15:val="{DCA1EA61-8887-4A1C-8A2A-FCF51F32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imes" w:hAnsi="Times"/>
      <w:sz w:val="24"/>
      <w:lang w:val="en-US"/>
    </w:rPr>
  </w:style>
  <w:style w:type="paragraph" w:styleId="Heading1">
    <w:name w:val="heading 1"/>
    <w:basedOn w:val="Normal"/>
    <w:next w:val="Normal"/>
    <w:qFormat/>
    <w:pPr>
      <w:keepNext/>
      <w:spacing w:before="120"/>
      <w:jc w:val="both"/>
      <w:outlineLvl w:val="0"/>
    </w:pPr>
    <w:rPr>
      <w:rFonts w:ascii="Arial" w:hAnsi="Arial"/>
      <w:b/>
    </w:rPr>
  </w:style>
  <w:style w:type="paragraph" w:styleId="Heading2">
    <w:name w:val="heading 2"/>
    <w:basedOn w:val="Normal"/>
    <w:next w:val="Normal"/>
    <w:qFormat/>
    <w:pPr>
      <w:keepNext/>
      <w:spacing w:before="120"/>
      <w:outlineLvl w:val="1"/>
    </w:pPr>
    <w:rPr>
      <w:rFonts w:ascii="Arial" w:hAnsi="Arial"/>
      <w:b/>
      <w:lang w:val="en-GB"/>
    </w:rPr>
  </w:style>
  <w:style w:type="paragraph" w:styleId="Heading3">
    <w:name w:val="heading 3"/>
    <w:basedOn w:val="Normal"/>
    <w:next w:val="Normal"/>
    <w:qFormat/>
    <w:pPr>
      <w:keepNext/>
      <w:spacing w:before="120"/>
      <w:outlineLvl w:val="2"/>
    </w:pPr>
    <w:rPr>
      <w:rFonts w:ascii="Arial" w:hAnsi="Arial"/>
      <w:b/>
      <w:color w:val="000000"/>
      <w:u w:val="single"/>
      <w:lang w:val="en-GB"/>
    </w:rPr>
  </w:style>
  <w:style w:type="paragraph" w:styleId="Heading4">
    <w:name w:val="heading 4"/>
    <w:basedOn w:val="Normal"/>
    <w:next w:val="Normal"/>
    <w:qFormat/>
    <w:pPr>
      <w:keepNext/>
      <w:spacing w:before="120"/>
      <w:jc w:val="both"/>
      <w:outlineLvl w:val="3"/>
    </w:pPr>
    <w:rPr>
      <w:rFonts w:ascii="Arial" w:hAnsi="Arial"/>
      <w:b/>
      <w:color w:val="000000"/>
      <w:u w:val="single"/>
    </w:rPr>
  </w:style>
  <w:style w:type="paragraph" w:styleId="Heading5">
    <w:name w:val="heading 5"/>
    <w:basedOn w:val="Normal"/>
    <w:next w:val="Normal"/>
    <w:qFormat/>
    <w:pPr>
      <w:keepNext/>
      <w:spacing w:before="120"/>
      <w:jc w:val="both"/>
      <w:outlineLvl w:val="4"/>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ntekst">
    <w:name w:val="Ballontekst"/>
    <w:basedOn w:val="Normal"/>
    <w:semiHidden/>
    <w:rPr>
      <w:rFonts w:ascii="Tahoma" w:hAnsi="Tahoma"/>
      <w:sz w:val="16"/>
    </w:rPr>
  </w:style>
  <w:style w:type="paragraph" w:styleId="BodyText">
    <w:name w:val="Body Text"/>
    <w:basedOn w:val="Normal"/>
    <w:link w:val="BodyTextChar"/>
    <w:pPr>
      <w:spacing w:before="120"/>
      <w:jc w:val="both"/>
    </w:pPr>
    <w:rPr>
      <w:lang w:val="en-GB"/>
    </w:rPr>
  </w:style>
  <w:style w:type="paragraph" w:styleId="BodyText2">
    <w:name w:val="Body Text 2"/>
    <w:basedOn w:val="Normal"/>
    <w:link w:val="BodyText2Char"/>
    <w:pPr>
      <w:spacing w:line="320" w:lineRule="atLeast"/>
    </w:pPr>
    <w:rPr>
      <w:rFonts w:ascii="Arial" w:hAnsi="Arial"/>
      <w:b/>
      <w:sz w:val="28"/>
    </w:rPr>
  </w:style>
  <w:style w:type="paragraph" w:styleId="Header">
    <w:name w:val="header"/>
    <w:basedOn w:val="Normal"/>
    <w:link w:val="HeaderChar"/>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paragraph" w:styleId="BodyText3">
    <w:name w:val="Body Text 3"/>
    <w:basedOn w:val="Normal"/>
    <w:pPr>
      <w:spacing w:before="120"/>
      <w:jc w:val="both"/>
    </w:pPr>
    <w:rPr>
      <w:b/>
      <w:color w:val="FF0000"/>
    </w:rPr>
  </w:style>
  <w:style w:type="character" w:styleId="PageNumber">
    <w:name w:val="page number"/>
    <w:basedOn w:val="DefaultParagraphFont"/>
  </w:style>
  <w:style w:type="paragraph" w:styleId="BalloonText">
    <w:name w:val="Balloon Text"/>
    <w:basedOn w:val="Normal"/>
    <w:semiHidden/>
    <w:rsid w:val="005C7DDF"/>
    <w:rPr>
      <w:rFonts w:ascii="Lucida Grande" w:hAnsi="Lucida Grande"/>
      <w:sz w:val="18"/>
      <w:szCs w:val="18"/>
    </w:rPr>
  </w:style>
  <w:style w:type="paragraph" w:styleId="FootnoteText">
    <w:name w:val="footnote text"/>
    <w:basedOn w:val="Normal"/>
    <w:link w:val="FootnoteTextChar"/>
    <w:uiPriority w:val="99"/>
    <w:semiHidden/>
    <w:rsid w:val="00D74E64"/>
    <w:rPr>
      <w:szCs w:val="24"/>
    </w:rPr>
  </w:style>
  <w:style w:type="character" w:styleId="FootnoteReference">
    <w:name w:val="footnote reference"/>
    <w:uiPriority w:val="99"/>
    <w:semiHidden/>
    <w:rsid w:val="00D74E64"/>
    <w:rPr>
      <w:vertAlign w:val="superscript"/>
    </w:rPr>
  </w:style>
  <w:style w:type="table" w:styleId="TableGrid">
    <w:name w:val="Table Grid"/>
    <w:basedOn w:val="TableNormal"/>
    <w:uiPriority w:val="59"/>
    <w:rsid w:val="007D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2621B"/>
    <w:pPr>
      <w:spacing w:after="120"/>
      <w:ind w:left="283"/>
    </w:pPr>
  </w:style>
  <w:style w:type="character" w:styleId="Hyperlink">
    <w:name w:val="Hyperlink"/>
    <w:rsid w:val="0082621B"/>
    <w:rPr>
      <w:color w:val="0000FF"/>
      <w:u w:val="single"/>
    </w:rPr>
  </w:style>
  <w:style w:type="paragraph" w:styleId="z-BottomofForm">
    <w:name w:val="HTML Bottom of Form"/>
    <w:basedOn w:val="Normal"/>
    <w:next w:val="Normal"/>
    <w:hidden/>
    <w:rsid w:val="0082621B"/>
    <w:pPr>
      <w:pBdr>
        <w:top w:val="single" w:sz="6" w:space="1" w:color="010000"/>
      </w:pBdr>
      <w:spacing w:before="100" w:after="100"/>
      <w:jc w:val="center"/>
    </w:pPr>
    <w:rPr>
      <w:rFonts w:ascii="Arial" w:hAnsi="Arial"/>
      <w:vanish/>
      <w:sz w:val="16"/>
    </w:rPr>
  </w:style>
  <w:style w:type="paragraph" w:styleId="z-TopofForm">
    <w:name w:val="HTML Top of Form"/>
    <w:basedOn w:val="Normal"/>
    <w:next w:val="Normal"/>
    <w:hidden/>
    <w:rsid w:val="0082621B"/>
    <w:pPr>
      <w:pBdr>
        <w:bottom w:val="single" w:sz="6" w:space="1" w:color="010000"/>
      </w:pBdr>
      <w:spacing w:before="100" w:after="100"/>
      <w:jc w:val="center"/>
    </w:pPr>
    <w:rPr>
      <w:rFonts w:ascii="Arial" w:hAnsi="Arial"/>
      <w:vanish/>
      <w:sz w:val="16"/>
    </w:rPr>
  </w:style>
  <w:style w:type="character" w:styleId="FollowedHyperlink">
    <w:name w:val="FollowedHyperlink"/>
    <w:rsid w:val="000076E9"/>
    <w:rPr>
      <w:color w:val="800080"/>
      <w:u w:val="single"/>
    </w:rPr>
  </w:style>
  <w:style w:type="paragraph" w:styleId="DocumentMap">
    <w:name w:val="Document Map"/>
    <w:basedOn w:val="Normal"/>
    <w:semiHidden/>
    <w:rsid w:val="00061340"/>
    <w:pPr>
      <w:shd w:val="clear" w:color="auto" w:fill="000080"/>
    </w:pPr>
    <w:rPr>
      <w:rFonts w:ascii="Tahoma" w:hAnsi="Tahoma" w:cs="Tahoma"/>
      <w:sz w:val="20"/>
    </w:rPr>
  </w:style>
  <w:style w:type="paragraph" w:styleId="Revision">
    <w:name w:val="Revision"/>
    <w:hidden/>
    <w:uiPriority w:val="99"/>
    <w:semiHidden/>
    <w:rsid w:val="00353672"/>
    <w:rPr>
      <w:rFonts w:ascii="Times" w:eastAsia="Times" w:hAnsi="Times"/>
      <w:sz w:val="24"/>
      <w:lang w:val="en-US"/>
    </w:rPr>
  </w:style>
  <w:style w:type="character" w:styleId="Strong">
    <w:name w:val="Strong"/>
    <w:uiPriority w:val="22"/>
    <w:qFormat/>
    <w:rsid w:val="002E216E"/>
    <w:rPr>
      <w:b/>
      <w:bCs/>
    </w:rPr>
  </w:style>
  <w:style w:type="character" w:customStyle="1" w:styleId="HeaderChar">
    <w:name w:val="Header Char"/>
    <w:link w:val="Header"/>
    <w:uiPriority w:val="99"/>
    <w:rsid w:val="00A138DB"/>
    <w:rPr>
      <w:rFonts w:ascii="Times" w:eastAsia="Times" w:hAnsi="Times"/>
      <w:sz w:val="24"/>
      <w:lang w:val="en-US"/>
    </w:rPr>
  </w:style>
  <w:style w:type="character" w:customStyle="1" w:styleId="BodyTextChar">
    <w:name w:val="Body Text Char"/>
    <w:link w:val="BodyText"/>
    <w:rsid w:val="004372AE"/>
    <w:rPr>
      <w:rFonts w:ascii="Times" w:eastAsia="Times" w:hAnsi="Times"/>
      <w:sz w:val="24"/>
      <w:lang w:val="en-GB"/>
    </w:rPr>
  </w:style>
  <w:style w:type="character" w:customStyle="1" w:styleId="BodyText2Char">
    <w:name w:val="Body Text 2 Char"/>
    <w:link w:val="BodyText2"/>
    <w:rsid w:val="00B668D8"/>
    <w:rPr>
      <w:rFonts w:ascii="Arial" w:eastAsia="Times" w:hAnsi="Arial"/>
      <w:b/>
      <w:sz w:val="28"/>
      <w:lang w:val="en-US"/>
    </w:rPr>
  </w:style>
  <w:style w:type="character" w:customStyle="1" w:styleId="FootnoteTextChar">
    <w:name w:val="Footnote Text Char"/>
    <w:basedOn w:val="DefaultParagraphFont"/>
    <w:link w:val="FootnoteText"/>
    <w:uiPriority w:val="99"/>
    <w:semiHidden/>
    <w:rsid w:val="004611A8"/>
    <w:rPr>
      <w:rFonts w:ascii="Times" w:eastAsia="Times" w:hAnsi="Times"/>
      <w:sz w:val="24"/>
      <w:szCs w:val="24"/>
      <w:lang w:val="en-US"/>
    </w:rPr>
  </w:style>
  <w:style w:type="table" w:customStyle="1" w:styleId="TableGrid1">
    <w:name w:val="Table Grid1"/>
    <w:basedOn w:val="TableNormal"/>
    <w:next w:val="TableGrid"/>
    <w:uiPriority w:val="59"/>
    <w:rsid w:val="00217EE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0266E"/>
    <w:rPr>
      <w:rFonts w:ascii="Times" w:eastAsia="Times" w:hAnsi="Times"/>
      <w:sz w:val="24"/>
      <w:lang w:val="en-US"/>
    </w:rPr>
  </w:style>
  <w:style w:type="character" w:styleId="CommentReference">
    <w:name w:val="annotation reference"/>
    <w:basedOn w:val="DefaultParagraphFont"/>
    <w:uiPriority w:val="99"/>
    <w:semiHidden/>
    <w:unhideWhenUsed/>
    <w:rsid w:val="00C575F8"/>
    <w:rPr>
      <w:sz w:val="16"/>
      <w:szCs w:val="16"/>
    </w:rPr>
  </w:style>
  <w:style w:type="paragraph" w:styleId="CommentText">
    <w:name w:val="annotation text"/>
    <w:basedOn w:val="Normal"/>
    <w:link w:val="CommentTextChar"/>
    <w:uiPriority w:val="99"/>
    <w:unhideWhenUsed/>
    <w:rsid w:val="00C575F8"/>
    <w:rPr>
      <w:sz w:val="20"/>
    </w:rPr>
  </w:style>
  <w:style w:type="character" w:customStyle="1" w:styleId="CommentTextChar">
    <w:name w:val="Comment Text Char"/>
    <w:basedOn w:val="DefaultParagraphFont"/>
    <w:link w:val="CommentText"/>
    <w:uiPriority w:val="99"/>
    <w:rsid w:val="00C575F8"/>
    <w:rPr>
      <w:rFonts w:ascii="Times" w:eastAsia="Times" w:hAnsi="Times"/>
      <w:lang w:val="en-US"/>
    </w:rPr>
  </w:style>
  <w:style w:type="paragraph" w:styleId="CommentSubject">
    <w:name w:val="annotation subject"/>
    <w:basedOn w:val="CommentText"/>
    <w:next w:val="CommentText"/>
    <w:link w:val="CommentSubjectChar"/>
    <w:uiPriority w:val="99"/>
    <w:semiHidden/>
    <w:unhideWhenUsed/>
    <w:rsid w:val="00C575F8"/>
    <w:rPr>
      <w:b/>
      <w:bCs/>
    </w:rPr>
  </w:style>
  <w:style w:type="character" w:customStyle="1" w:styleId="CommentSubjectChar">
    <w:name w:val="Comment Subject Char"/>
    <w:basedOn w:val="CommentTextChar"/>
    <w:link w:val="CommentSubject"/>
    <w:uiPriority w:val="99"/>
    <w:semiHidden/>
    <w:rsid w:val="00C575F8"/>
    <w:rPr>
      <w:rFonts w:ascii="Times" w:eastAsia="Times" w:hAnsi="Times"/>
      <w:b/>
      <w:bCs/>
      <w:lang w:val="en-US"/>
    </w:rPr>
  </w:style>
  <w:style w:type="character" w:styleId="UnresolvedMention">
    <w:name w:val="Unresolved Mention"/>
    <w:basedOn w:val="DefaultParagraphFont"/>
    <w:uiPriority w:val="99"/>
    <w:semiHidden/>
    <w:unhideWhenUsed/>
    <w:rsid w:val="00222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qm.eu/en/veterinary-biologicals-ocabr/obp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dqm.eu/en/guidelines-for-eu-ocabr-for-ivmp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dqm.eu/en/ocabrobpr-immunological-veterinary-medicinal-products-ivmps" TargetMode="External"/><Relationship Id="rId4" Type="http://schemas.openxmlformats.org/officeDocument/2006/relationships/webSettings" Target="webSettings.xml"/><Relationship Id="rId9" Type="http://schemas.openxmlformats.org/officeDocument/2006/relationships/hyperlink" Target="https://www.edqm.eu/documents/52006/234232/CMFlowchartIVMP_01_22.doc/35661a1b-2313-dc86-09f4-3e2fdae13de6?t=164311824209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1739</Words>
  <Characters>9918</Characters>
  <Application>Microsoft Office Word</Application>
  <DocSecurity>0</DocSecurity>
  <Lines>82</Lines>
  <Paragraphs>23</Paragraphs>
  <ScaleCrop>false</ScaleCrop>
  <HeadingPairs>
    <vt:vector size="6" baseType="variant">
      <vt:variant>
        <vt:lpstr>Title</vt:lpstr>
      </vt:variant>
      <vt:variant>
        <vt:i4>1</vt:i4>
      </vt:variant>
      <vt:variant>
        <vt:lpstr>Titre</vt:lpstr>
      </vt:variant>
      <vt:variant>
        <vt:i4>1</vt:i4>
      </vt:variant>
      <vt:variant>
        <vt:lpstr>Otsikko</vt:lpstr>
      </vt:variant>
      <vt:variant>
        <vt:i4>1</vt:i4>
      </vt:variant>
    </vt:vector>
  </HeadingPairs>
  <TitlesOfParts>
    <vt:vector size="3" baseType="lpstr">
      <vt:lpstr>SAMPLING AND TESTING OF MUTUAL RECOGNITION PROCEDURE PRODUCTS</vt:lpstr>
      <vt:lpstr>SAMPLING AND TESTING OF MUTUAL RECOGNITION PROCEDURE PRODUCTS</vt:lpstr>
      <vt:lpstr>SAMPLING AND TESTING OF MUTUAL RECOGNITION PROCEDURE PRODUCTS</vt:lpstr>
    </vt:vector>
  </TitlesOfParts>
  <Company>DEQM</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SAMPLING AND TESTING OF MUTUAL RECOGNITION PROCEDURE PRODUCTS</dc:title>
  <dc:creator>DEQM DEQM</dc:creator>
  <cp:lastModifiedBy>ROMANO Manuela</cp:lastModifiedBy>
  <cp:revision>5</cp:revision>
  <cp:lastPrinted>2017-07-19T08:33:00Z</cp:lastPrinted>
  <dcterms:created xsi:type="dcterms:W3CDTF">2022-01-25T13:35:00Z</dcterms:created>
  <dcterms:modified xsi:type="dcterms:W3CDTF">2025-08-15T12:22:00Z</dcterms:modified>
</cp:coreProperties>
</file>